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10-K</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(Mark One)</w:t>
      </w:r>
    </w:p>
    <w:p>
      <w:pPr>
        <w:spacing w:after="0" w:line="39" w:lineRule="exact"/>
        <w:rPr>
          <w:sz w:val="20"/>
          <w:szCs w:val="20"/>
          <w:color w:val="auto"/>
        </w:rPr>
      </w:pPr>
    </w:p>
    <w:p>
      <w:pPr>
        <w:ind w:left="1760" w:hanging="833"/>
        <w:spacing w:after="0"/>
        <w:tabs>
          <w:tab w:leader="none" w:pos="17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80" w:lineRule="exact"/>
        <w:rPr>
          <w:sz w:val="20"/>
          <w:szCs w:val="20"/>
          <w:color w:val="auto"/>
        </w:rPr>
      </w:pPr>
    </w:p>
    <w:p>
      <w:pPr>
        <w:ind w:left="1760" w:hanging="803"/>
        <w:spacing w:after="0"/>
        <w:tabs>
          <w:tab w:leader="none" w:pos="17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 w:lineRule="exact"/>
        <w:rPr>
          <w:sz w:val="20"/>
          <w:szCs w:val="20"/>
          <w:color w:val="auto"/>
        </w:rPr>
      </w:pPr>
    </w:p>
    <w:tbl>
      <w:tblPr>
        <w:tblLayout w:type="fixed"/>
        <w:tblInd w:w="340" w:type="dxa"/>
        <w:tblCellMar>
          <w:top w:w="0" w:type="dxa"/>
          <w:left w:w="0" w:type="dxa"/>
          <w:bottom w:w="0" w:type="dxa"/>
          <w:right w:w="0" w:type="dxa"/>
        </w:tblCellMar>
      </w:tblPr>
      <w:tr>
        <w:trPr>
          <w:trHeight w:val="169"/>
        </w:trPr>
        <w:tc>
          <w:tcPr>
            <w:tcW w:w="3140" w:type="dxa"/>
            <w:vAlign w:val="bottom"/>
          </w:tcPr>
          <w:p>
            <w:pPr>
              <w:ind w:left="1420"/>
              <w:spacing w:after="0"/>
              <w:rPr>
                <w:sz w:val="20"/>
                <w:szCs w:val="20"/>
                <w:color w:val="auto"/>
              </w:rPr>
            </w:pPr>
            <w:r>
              <w:rPr>
                <w:rFonts w:ascii="Arial" w:cs="Arial" w:eastAsia="Arial" w:hAnsi="Arial"/>
                <w:sz w:val="13"/>
                <w:szCs w:val="13"/>
                <w:b w:val="1"/>
                <w:bCs w:val="1"/>
                <w:color w:val="auto"/>
                <w:w w:val="93"/>
              </w:rPr>
              <w:t>For the transition period from</w:t>
            </w:r>
          </w:p>
        </w:tc>
        <w:tc>
          <w:tcPr>
            <w:tcW w:w="3820" w:type="dxa"/>
            <w:vAlign w:val="bottom"/>
            <w:gridSpan w:val="3"/>
          </w:tcPr>
          <w:p>
            <w:pPr>
              <w:ind w:left="300"/>
              <w:spacing w:after="0"/>
              <w:rPr>
                <w:sz w:val="20"/>
                <w:szCs w:val="20"/>
                <w:color w:val="auto"/>
              </w:rPr>
            </w:pPr>
            <w:r>
              <w:rPr>
                <w:rFonts w:ascii="Arial" w:cs="Arial" w:eastAsia="Arial" w:hAnsi="Arial"/>
                <w:sz w:val="13"/>
                <w:szCs w:val="13"/>
                <w:b w:val="1"/>
                <w:bCs w:val="1"/>
                <w:color w:val="auto"/>
              </w:rPr>
              <w:t>to</w:t>
            </w:r>
          </w:p>
        </w:tc>
        <w:tc>
          <w:tcPr>
            <w:tcW w:w="3820" w:type="dxa"/>
            <w:vAlign w:val="bottom"/>
          </w:tcPr>
          <w:p>
            <w:pPr>
              <w:spacing w:after="0"/>
              <w:rPr>
                <w:sz w:val="14"/>
                <w:szCs w:val="14"/>
                <w:color w:val="auto"/>
              </w:rPr>
            </w:pPr>
          </w:p>
        </w:tc>
      </w:tr>
      <w:tr>
        <w:trPr>
          <w:trHeight w:val="251"/>
        </w:trPr>
        <w:tc>
          <w:tcPr>
            <w:tcW w:w="3140" w:type="dxa"/>
            <w:vAlign w:val="bottom"/>
          </w:tcPr>
          <w:p>
            <w:pPr>
              <w:spacing w:after="0"/>
              <w:rPr>
                <w:sz w:val="21"/>
                <w:szCs w:val="21"/>
                <w:color w:val="auto"/>
              </w:rPr>
            </w:pPr>
          </w:p>
        </w:tc>
        <w:tc>
          <w:tcPr>
            <w:tcW w:w="3820" w:type="dxa"/>
            <w:vAlign w:val="bottom"/>
            <w:gridSpan w:val="3"/>
          </w:tcPr>
          <w:p>
            <w:pPr>
              <w:jc w:val="center"/>
              <w:ind w:left="637"/>
              <w:spacing w:after="0"/>
              <w:rPr>
                <w:sz w:val="20"/>
                <w:szCs w:val="20"/>
                <w:color w:val="auto"/>
              </w:rPr>
            </w:pPr>
            <w:r>
              <w:rPr>
                <w:rFonts w:ascii="Arial" w:cs="Arial" w:eastAsia="Arial" w:hAnsi="Arial"/>
                <w:sz w:val="13"/>
                <w:szCs w:val="13"/>
                <w:b w:val="1"/>
                <w:bCs w:val="1"/>
                <w:color w:val="auto"/>
              </w:rPr>
              <w:t>COMMISSION FILE NO. 0-26224</w:t>
            </w:r>
          </w:p>
        </w:tc>
        <w:tc>
          <w:tcPr>
            <w:tcW w:w="3820" w:type="dxa"/>
            <w:vAlign w:val="bottom"/>
          </w:tcPr>
          <w:p>
            <w:pPr>
              <w:spacing w:after="0"/>
              <w:rPr>
                <w:sz w:val="21"/>
                <w:szCs w:val="21"/>
                <w:color w:val="auto"/>
              </w:rPr>
            </w:pPr>
          </w:p>
        </w:tc>
      </w:tr>
      <w:tr>
        <w:trPr>
          <w:trHeight w:val="391"/>
        </w:trPr>
        <w:tc>
          <w:tcPr>
            <w:tcW w:w="10780" w:type="dxa"/>
            <w:vAlign w:val="bottom"/>
            <w:gridSpan w:val="5"/>
          </w:tcPr>
          <w:p>
            <w:pPr>
              <w:jc w:val="center"/>
              <w:spacing w:after="0"/>
              <w:rPr>
                <w:sz w:val="20"/>
                <w:szCs w:val="20"/>
                <w:color w:val="auto"/>
              </w:rPr>
            </w:pPr>
            <w:r>
              <w:rPr>
                <w:rFonts w:ascii="Arial" w:cs="Arial" w:eastAsia="Arial" w:hAnsi="Arial"/>
                <w:sz w:val="28"/>
                <w:szCs w:val="28"/>
                <w:b w:val="1"/>
                <w:bCs w:val="1"/>
                <w:color w:val="auto"/>
                <w:w w:val="99"/>
              </w:rPr>
              <w:t>INTEGRA LIFESCIENCES HOLDINGS CORPORATION</w:t>
            </w:r>
          </w:p>
        </w:tc>
      </w:tr>
      <w:tr>
        <w:trPr>
          <w:trHeight w:val="131"/>
        </w:trPr>
        <w:tc>
          <w:tcPr>
            <w:tcW w:w="3140" w:type="dxa"/>
            <w:vAlign w:val="bottom"/>
          </w:tcPr>
          <w:p>
            <w:pPr>
              <w:spacing w:after="0"/>
              <w:rPr>
                <w:sz w:val="11"/>
                <w:szCs w:val="11"/>
                <w:color w:val="auto"/>
              </w:rPr>
            </w:pPr>
          </w:p>
        </w:tc>
        <w:tc>
          <w:tcPr>
            <w:tcW w:w="3820" w:type="dxa"/>
            <w:vAlign w:val="bottom"/>
            <w:gridSpan w:val="3"/>
          </w:tcPr>
          <w:p>
            <w:pPr>
              <w:jc w:val="center"/>
              <w:ind w:left="617"/>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c>
          <w:tcPr>
            <w:tcW w:w="3820" w:type="dxa"/>
            <w:vAlign w:val="bottom"/>
          </w:tcPr>
          <w:p>
            <w:pPr>
              <w:spacing w:after="0"/>
              <w:rPr>
                <w:sz w:val="11"/>
                <w:szCs w:val="11"/>
                <w:color w:val="auto"/>
              </w:rPr>
            </w:pPr>
          </w:p>
        </w:tc>
      </w:tr>
      <w:tr>
        <w:trPr>
          <w:trHeight w:val="232"/>
        </w:trPr>
        <w:tc>
          <w:tcPr>
            <w:tcW w:w="3140" w:type="dxa"/>
            <w:vAlign w:val="bottom"/>
          </w:tcPr>
          <w:p>
            <w:pPr>
              <w:jc w:val="center"/>
              <w:ind w:left="2212"/>
              <w:spacing w:after="0"/>
              <w:rPr>
                <w:sz w:val="20"/>
                <w:szCs w:val="20"/>
                <w:color w:val="auto"/>
              </w:rPr>
            </w:pPr>
            <w:r>
              <w:rPr>
                <w:rFonts w:ascii="Arial" w:cs="Arial" w:eastAsia="Arial" w:hAnsi="Arial"/>
                <w:sz w:val="13"/>
                <w:szCs w:val="13"/>
                <w:b w:val="1"/>
                <w:bCs w:val="1"/>
                <w:color w:val="auto"/>
                <w:w w:val="94"/>
              </w:rPr>
              <w:t>Delaware</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20" w:type="dxa"/>
            <w:vAlign w:val="bottom"/>
          </w:tcPr>
          <w:p>
            <w:pPr>
              <w:jc w:val="right"/>
              <w:ind w:right="2261"/>
              <w:spacing w:after="0"/>
              <w:rPr>
                <w:sz w:val="20"/>
                <w:szCs w:val="20"/>
                <w:color w:val="auto"/>
              </w:rPr>
            </w:pPr>
            <w:r>
              <w:rPr>
                <w:rFonts w:ascii="Arial" w:cs="Arial" w:eastAsia="Arial" w:hAnsi="Arial"/>
                <w:sz w:val="13"/>
                <w:szCs w:val="13"/>
                <w:b w:val="1"/>
                <w:bCs w:val="1"/>
                <w:color w:val="auto"/>
              </w:rPr>
              <w:t>51-0317849</w:t>
            </w:r>
          </w:p>
        </w:tc>
      </w:tr>
      <w:tr>
        <w:trPr>
          <w:trHeight w:val="131"/>
        </w:trPr>
        <w:tc>
          <w:tcPr>
            <w:tcW w:w="6960" w:type="dxa"/>
            <w:vAlign w:val="bottom"/>
            <w:gridSpan w:val="4"/>
          </w:tcPr>
          <w:p>
            <w:pPr>
              <w:jc w:val="center"/>
              <w:ind w:right="1540"/>
              <w:spacing w:after="0"/>
              <w:rPr>
                <w:sz w:val="20"/>
                <w:szCs w:val="20"/>
                <w:color w:val="auto"/>
              </w:rPr>
            </w:pPr>
            <w:r>
              <w:rPr>
                <w:rFonts w:ascii="Arial" w:cs="Arial" w:eastAsia="Arial" w:hAnsi="Arial"/>
                <w:sz w:val="10"/>
                <w:szCs w:val="10"/>
                <w:i w:val="1"/>
                <w:iCs w:val="1"/>
                <w:color w:val="auto"/>
                <w:w w:val="96"/>
              </w:rPr>
              <w:t>(STATE OR OTHER JURISDICTION OF</w:t>
            </w:r>
          </w:p>
        </w:tc>
        <w:tc>
          <w:tcPr>
            <w:tcW w:w="3820" w:type="dxa"/>
            <w:vAlign w:val="bottom"/>
          </w:tcPr>
          <w:p>
            <w:pPr>
              <w:jc w:val="center"/>
              <w:ind w:right="1401"/>
              <w:spacing w:after="0"/>
              <w:rPr>
                <w:sz w:val="20"/>
                <w:szCs w:val="20"/>
                <w:color w:val="auto"/>
              </w:rPr>
            </w:pPr>
            <w:r>
              <w:rPr>
                <w:rFonts w:ascii="Arial" w:cs="Arial" w:eastAsia="Arial" w:hAnsi="Arial"/>
                <w:sz w:val="10"/>
                <w:szCs w:val="10"/>
                <w:i w:val="1"/>
                <w:iCs w:val="1"/>
                <w:color w:val="auto"/>
                <w:w w:val="96"/>
              </w:rPr>
              <w:t>(I.R.S. EMPLOYER</w:t>
            </w:r>
          </w:p>
        </w:tc>
      </w:tr>
      <w:tr>
        <w:trPr>
          <w:trHeight w:val="157"/>
        </w:trPr>
        <w:tc>
          <w:tcPr>
            <w:tcW w:w="6960" w:type="dxa"/>
            <w:vAlign w:val="bottom"/>
            <w:gridSpan w:val="4"/>
          </w:tcPr>
          <w:p>
            <w:pPr>
              <w:jc w:val="center"/>
              <w:ind w:right="1540"/>
              <w:spacing w:after="0"/>
              <w:rPr>
                <w:sz w:val="20"/>
                <w:szCs w:val="20"/>
                <w:color w:val="auto"/>
              </w:rPr>
            </w:pPr>
            <w:r>
              <w:rPr>
                <w:rFonts w:ascii="Arial" w:cs="Arial" w:eastAsia="Arial" w:hAnsi="Arial"/>
                <w:sz w:val="10"/>
                <w:szCs w:val="10"/>
                <w:i w:val="1"/>
                <w:iCs w:val="1"/>
                <w:color w:val="auto"/>
                <w:w w:val="96"/>
              </w:rPr>
              <w:t>INCORPORATION OR ORGANIZATION)</w:t>
            </w:r>
          </w:p>
        </w:tc>
        <w:tc>
          <w:tcPr>
            <w:tcW w:w="3820" w:type="dxa"/>
            <w:vAlign w:val="bottom"/>
          </w:tcPr>
          <w:p>
            <w:pPr>
              <w:jc w:val="center"/>
              <w:ind w:right="1401"/>
              <w:spacing w:after="0"/>
              <w:rPr>
                <w:sz w:val="20"/>
                <w:szCs w:val="20"/>
                <w:color w:val="auto"/>
              </w:rPr>
            </w:pPr>
            <w:r>
              <w:rPr>
                <w:rFonts w:ascii="Arial" w:cs="Arial" w:eastAsia="Arial" w:hAnsi="Arial"/>
                <w:sz w:val="10"/>
                <w:szCs w:val="10"/>
                <w:i w:val="1"/>
                <w:iCs w:val="1"/>
                <w:color w:val="auto"/>
              </w:rPr>
              <w:t>IDENTIFICATION NO.)</w:t>
            </w:r>
          </w:p>
        </w:tc>
      </w:tr>
      <w:tr>
        <w:trPr>
          <w:trHeight w:val="183"/>
        </w:trPr>
        <w:tc>
          <w:tcPr>
            <w:tcW w:w="6960" w:type="dxa"/>
            <w:vAlign w:val="bottom"/>
            <w:gridSpan w:val="4"/>
          </w:tcPr>
          <w:p>
            <w:pPr>
              <w:jc w:val="center"/>
              <w:ind w:right="1560"/>
              <w:spacing w:after="0"/>
              <w:rPr>
                <w:sz w:val="20"/>
                <w:szCs w:val="20"/>
                <w:color w:val="auto"/>
              </w:rPr>
            </w:pPr>
            <w:r>
              <w:rPr>
                <w:rFonts w:ascii="Arial" w:cs="Arial" w:eastAsia="Arial" w:hAnsi="Arial"/>
                <w:sz w:val="13"/>
                <w:szCs w:val="13"/>
                <w:b w:val="1"/>
                <w:bCs w:val="1"/>
                <w:color w:val="auto"/>
                <w:w w:val="92"/>
              </w:rPr>
              <w:t>311 Enterprise Drive</w:t>
            </w:r>
          </w:p>
        </w:tc>
        <w:tc>
          <w:tcPr>
            <w:tcW w:w="3820" w:type="dxa"/>
            <w:vAlign w:val="bottom"/>
          </w:tcPr>
          <w:p>
            <w:pPr>
              <w:jc w:val="right"/>
              <w:ind w:right="2421"/>
              <w:spacing w:after="0"/>
              <w:rPr>
                <w:sz w:val="20"/>
                <w:szCs w:val="20"/>
                <w:color w:val="auto"/>
              </w:rPr>
            </w:pPr>
            <w:r>
              <w:rPr>
                <w:rFonts w:ascii="Arial" w:cs="Arial" w:eastAsia="Arial" w:hAnsi="Arial"/>
                <w:sz w:val="13"/>
                <w:szCs w:val="13"/>
                <w:b w:val="1"/>
                <w:bCs w:val="1"/>
                <w:color w:val="auto"/>
              </w:rPr>
              <w:t>08536</w:t>
            </w:r>
          </w:p>
        </w:tc>
      </w:tr>
      <w:tr>
        <w:trPr>
          <w:trHeight w:val="161"/>
        </w:trPr>
        <w:tc>
          <w:tcPr>
            <w:tcW w:w="6960" w:type="dxa"/>
            <w:vAlign w:val="bottom"/>
            <w:gridSpan w:val="4"/>
          </w:tcPr>
          <w:p>
            <w:pPr>
              <w:jc w:val="center"/>
              <w:ind w:right="1540"/>
              <w:spacing w:after="0"/>
              <w:rPr>
                <w:sz w:val="20"/>
                <w:szCs w:val="20"/>
                <w:color w:val="auto"/>
              </w:rPr>
            </w:pPr>
            <w:r>
              <w:rPr>
                <w:rFonts w:ascii="Arial" w:cs="Arial" w:eastAsia="Arial" w:hAnsi="Arial"/>
                <w:sz w:val="13"/>
                <w:szCs w:val="13"/>
                <w:b w:val="1"/>
                <w:bCs w:val="1"/>
                <w:color w:val="auto"/>
                <w:w w:val="99"/>
              </w:rPr>
              <w:t>PLAINSBORO, NEW JERSEY</w:t>
            </w:r>
          </w:p>
        </w:tc>
        <w:tc>
          <w:tcPr>
            <w:tcW w:w="3820" w:type="dxa"/>
            <w:vAlign w:val="bottom"/>
          </w:tcPr>
          <w:p>
            <w:pPr>
              <w:jc w:val="center"/>
              <w:ind w:right="1381"/>
              <w:spacing w:after="0"/>
              <w:rPr>
                <w:sz w:val="20"/>
                <w:szCs w:val="20"/>
                <w:color w:val="auto"/>
              </w:rPr>
            </w:pPr>
            <w:r>
              <w:rPr>
                <w:rFonts w:ascii="Arial" w:cs="Arial" w:eastAsia="Arial" w:hAnsi="Arial"/>
                <w:sz w:val="10"/>
                <w:szCs w:val="10"/>
                <w:i w:val="1"/>
                <w:iCs w:val="1"/>
                <w:color w:val="auto"/>
              </w:rPr>
              <w:t>(ZIP CODE)</w:t>
            </w:r>
          </w:p>
        </w:tc>
      </w:tr>
      <w:tr>
        <w:trPr>
          <w:trHeight w:val="165"/>
        </w:trPr>
        <w:tc>
          <w:tcPr>
            <w:tcW w:w="6960" w:type="dxa"/>
            <w:vAlign w:val="bottom"/>
            <w:gridSpan w:val="4"/>
          </w:tcPr>
          <w:p>
            <w:pPr>
              <w:jc w:val="center"/>
              <w:ind w:right="1540"/>
              <w:spacing w:after="0"/>
              <w:rPr>
                <w:sz w:val="20"/>
                <w:szCs w:val="20"/>
                <w:color w:val="auto"/>
              </w:rPr>
            </w:pPr>
            <w:r>
              <w:rPr>
                <w:rFonts w:ascii="Arial" w:cs="Arial" w:eastAsia="Arial" w:hAnsi="Arial"/>
                <w:sz w:val="13"/>
                <w:szCs w:val="13"/>
                <w:i w:val="1"/>
                <w:iCs w:val="1"/>
                <w:color w:val="auto"/>
                <w:w w:val="93"/>
              </w:rPr>
              <w:t>(ADDRESS OF PRINCIPAL EXECUTIVE OFFICES)</w:t>
            </w:r>
          </w:p>
        </w:tc>
        <w:tc>
          <w:tcPr>
            <w:tcW w:w="3820" w:type="dxa"/>
            <w:vAlign w:val="bottom"/>
          </w:tcPr>
          <w:p>
            <w:pPr>
              <w:spacing w:after="0"/>
              <w:rPr>
                <w:sz w:val="14"/>
                <w:szCs w:val="14"/>
                <w:color w:val="auto"/>
              </w:rPr>
            </w:pPr>
          </w:p>
        </w:tc>
      </w:tr>
      <w:tr>
        <w:trPr>
          <w:trHeight w:val="246"/>
        </w:trPr>
        <w:tc>
          <w:tcPr>
            <w:tcW w:w="107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9"/>
              </w:rPr>
              <w:t>REGISTRANT’S TELEPHONE NUMBER, INCLUDING AREA CODE: (609) 275-0500</w:t>
            </w:r>
          </w:p>
        </w:tc>
      </w:tr>
      <w:tr>
        <w:trPr>
          <w:trHeight w:val="246"/>
        </w:trPr>
        <w:tc>
          <w:tcPr>
            <w:tcW w:w="3140" w:type="dxa"/>
            <w:vAlign w:val="bottom"/>
          </w:tcPr>
          <w:p>
            <w:pPr>
              <w:spacing w:after="0"/>
              <w:rPr>
                <w:sz w:val="21"/>
                <w:szCs w:val="21"/>
                <w:color w:val="auto"/>
              </w:rPr>
            </w:pPr>
          </w:p>
        </w:tc>
        <w:tc>
          <w:tcPr>
            <w:tcW w:w="7640" w:type="dxa"/>
            <w:vAlign w:val="bottom"/>
            <w:gridSpan w:val="4"/>
          </w:tcPr>
          <w:p>
            <w:pPr>
              <w:jc w:val="center"/>
              <w:ind w:right="3081"/>
              <w:spacing w:after="0"/>
              <w:rPr>
                <w:sz w:val="20"/>
                <w:szCs w:val="20"/>
                <w:color w:val="auto"/>
              </w:rPr>
            </w:pPr>
            <w:r>
              <w:rPr>
                <w:rFonts w:ascii="Arial" w:cs="Arial" w:eastAsia="Arial" w:hAnsi="Arial"/>
                <w:sz w:val="13"/>
                <w:szCs w:val="13"/>
                <w:b w:val="1"/>
                <w:bCs w:val="1"/>
                <w:color w:val="auto"/>
              </w:rPr>
              <w:t>SECURITIES REGISTERED PURSUANT TO SECTION 12(b) OF THE ACT:</w:t>
            </w:r>
          </w:p>
        </w:tc>
      </w:tr>
      <w:tr>
        <w:trPr>
          <w:trHeight w:val="208"/>
        </w:trPr>
        <w:tc>
          <w:tcPr>
            <w:tcW w:w="3140" w:type="dxa"/>
            <w:vAlign w:val="bottom"/>
            <w:tcBorders>
              <w:bottom w:val="single" w:sz="8" w:color="auto"/>
            </w:tcBorders>
          </w:tcPr>
          <w:p>
            <w:pPr>
              <w:jc w:val="center"/>
              <w:ind w:left="2192"/>
              <w:spacing w:after="0"/>
              <w:rPr>
                <w:sz w:val="20"/>
                <w:szCs w:val="20"/>
                <w:color w:val="auto"/>
              </w:rPr>
            </w:pPr>
            <w:r>
              <w:rPr>
                <w:rFonts w:ascii="Arial" w:cs="Arial" w:eastAsia="Arial" w:hAnsi="Arial"/>
                <w:sz w:val="10"/>
                <w:szCs w:val="10"/>
                <w:b w:val="1"/>
                <w:bCs w:val="1"/>
                <w:color w:val="auto"/>
                <w:w w:val="94"/>
              </w:rPr>
              <w:t>Title of Each Class</w:t>
            </w:r>
          </w:p>
        </w:tc>
        <w:tc>
          <w:tcPr>
            <w:tcW w:w="2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jc w:val="center"/>
              <w:ind w:right="1401"/>
              <w:spacing w:after="0"/>
              <w:rPr>
                <w:sz w:val="20"/>
                <w:szCs w:val="20"/>
                <w:color w:val="auto"/>
              </w:rPr>
            </w:pPr>
            <w:r>
              <w:rPr>
                <w:rFonts w:ascii="Arial" w:cs="Arial" w:eastAsia="Arial" w:hAnsi="Arial"/>
                <w:sz w:val="10"/>
                <w:szCs w:val="10"/>
                <w:b w:val="1"/>
                <w:bCs w:val="1"/>
                <w:color w:val="auto"/>
                <w:w w:val="93"/>
              </w:rPr>
              <w:t>Name of Exchange on Which Registered</w:t>
            </w:r>
          </w:p>
        </w:tc>
      </w:tr>
      <w:tr>
        <w:trPr>
          <w:trHeight w:val="185"/>
        </w:trPr>
        <w:tc>
          <w:tcPr>
            <w:tcW w:w="6960" w:type="dxa"/>
            <w:vAlign w:val="bottom"/>
            <w:gridSpan w:val="4"/>
          </w:tcPr>
          <w:p>
            <w:pPr>
              <w:jc w:val="center"/>
              <w:ind w:right="1540"/>
              <w:spacing w:after="0"/>
              <w:rPr>
                <w:sz w:val="20"/>
                <w:szCs w:val="20"/>
                <w:color w:val="auto"/>
              </w:rPr>
            </w:pPr>
            <w:r>
              <w:rPr>
                <w:rFonts w:ascii="Arial" w:cs="Arial" w:eastAsia="Arial" w:hAnsi="Arial"/>
                <w:sz w:val="13"/>
                <w:szCs w:val="13"/>
                <w:color w:val="auto"/>
                <w:w w:val="89"/>
              </w:rPr>
              <w:t>Common Stock, Par Value $.01 Per Share</w:t>
            </w:r>
          </w:p>
        </w:tc>
        <w:tc>
          <w:tcPr>
            <w:tcW w:w="3820" w:type="dxa"/>
            <w:vAlign w:val="bottom"/>
          </w:tcPr>
          <w:p>
            <w:pPr>
              <w:jc w:val="center"/>
              <w:ind w:right="1401"/>
              <w:spacing w:after="0"/>
              <w:rPr>
                <w:sz w:val="20"/>
                <w:szCs w:val="20"/>
                <w:color w:val="auto"/>
              </w:rPr>
            </w:pPr>
            <w:r>
              <w:rPr>
                <w:rFonts w:ascii="Arial" w:cs="Arial" w:eastAsia="Arial" w:hAnsi="Arial"/>
                <w:sz w:val="13"/>
                <w:szCs w:val="13"/>
                <w:color w:val="auto"/>
                <w:w w:val="92"/>
              </w:rPr>
              <w:t>The Nasdaq Stock Market LLC</w:t>
            </w:r>
          </w:p>
        </w:tc>
      </w:tr>
      <w:tr>
        <w:trPr>
          <w:trHeight w:val="246"/>
        </w:trPr>
        <w:tc>
          <w:tcPr>
            <w:tcW w:w="3140" w:type="dxa"/>
            <w:vAlign w:val="bottom"/>
          </w:tcPr>
          <w:p>
            <w:pPr>
              <w:spacing w:after="0"/>
              <w:rPr>
                <w:sz w:val="21"/>
                <w:szCs w:val="21"/>
                <w:color w:val="auto"/>
              </w:rPr>
            </w:pPr>
          </w:p>
        </w:tc>
        <w:tc>
          <w:tcPr>
            <w:tcW w:w="7640" w:type="dxa"/>
            <w:vAlign w:val="bottom"/>
            <w:gridSpan w:val="4"/>
          </w:tcPr>
          <w:p>
            <w:pPr>
              <w:jc w:val="center"/>
              <w:ind w:right="3081"/>
              <w:spacing w:after="0"/>
              <w:rPr>
                <w:sz w:val="20"/>
                <w:szCs w:val="20"/>
                <w:color w:val="auto"/>
              </w:rPr>
            </w:pPr>
            <w:r>
              <w:rPr>
                <w:rFonts w:ascii="Arial" w:cs="Arial" w:eastAsia="Arial" w:hAnsi="Arial"/>
                <w:sz w:val="13"/>
                <w:szCs w:val="13"/>
                <w:b w:val="1"/>
                <w:bCs w:val="1"/>
                <w:color w:val="auto"/>
              </w:rPr>
              <w:t>SECURITIES REGISTERED PURSUANT TO SECTION 12(g) OF THE ACT:</w:t>
            </w:r>
          </w:p>
        </w:tc>
      </w:tr>
      <w:tr>
        <w:trPr>
          <w:trHeight w:val="246"/>
        </w:trPr>
        <w:tc>
          <w:tcPr>
            <w:tcW w:w="3140" w:type="dxa"/>
            <w:vAlign w:val="bottom"/>
          </w:tcPr>
          <w:p>
            <w:pPr>
              <w:spacing w:after="0"/>
              <w:rPr>
                <w:sz w:val="21"/>
                <w:szCs w:val="21"/>
                <w:color w:val="auto"/>
              </w:rPr>
            </w:pPr>
          </w:p>
        </w:tc>
        <w:tc>
          <w:tcPr>
            <w:tcW w:w="3820" w:type="dxa"/>
            <w:vAlign w:val="bottom"/>
            <w:gridSpan w:val="3"/>
          </w:tcPr>
          <w:p>
            <w:pPr>
              <w:jc w:val="center"/>
              <w:ind w:left="617"/>
              <w:spacing w:after="0"/>
              <w:rPr>
                <w:sz w:val="20"/>
                <w:szCs w:val="20"/>
                <w:color w:val="auto"/>
              </w:rPr>
            </w:pPr>
            <w:r>
              <w:rPr>
                <w:rFonts w:ascii="Arial" w:cs="Arial" w:eastAsia="Arial" w:hAnsi="Arial"/>
                <w:sz w:val="13"/>
                <w:szCs w:val="13"/>
                <w:b w:val="1"/>
                <w:bCs w:val="1"/>
                <w:color w:val="auto"/>
              </w:rPr>
              <w:t>NONE</w:t>
            </w:r>
          </w:p>
        </w:tc>
        <w:tc>
          <w:tcPr>
            <w:tcW w:w="3820" w:type="dxa"/>
            <w:vAlign w:val="bottom"/>
          </w:tcPr>
          <w:p>
            <w:pPr>
              <w:spacing w:after="0"/>
              <w:rPr>
                <w:sz w:val="21"/>
                <w:szCs w:val="21"/>
                <w:color w:val="auto"/>
              </w:rPr>
            </w:pPr>
          </w:p>
        </w:tc>
      </w:tr>
      <w:tr>
        <w:trPr>
          <w:trHeight w:val="262"/>
        </w:trPr>
        <w:tc>
          <w:tcPr>
            <w:tcW w:w="6960" w:type="dxa"/>
            <w:vAlign w:val="bottom"/>
            <w:gridSpan w:val="4"/>
          </w:tcPr>
          <w:p>
            <w:pPr>
              <w:ind w:left="320"/>
              <w:spacing w:after="0" w:line="150" w:lineRule="exact"/>
              <w:rPr>
                <w:sz w:val="20"/>
                <w:szCs w:val="20"/>
                <w:color w:val="auto"/>
              </w:rPr>
            </w:pPr>
            <w:r>
              <w:rPr>
                <w:rFonts w:ascii="Arial" w:cs="Arial" w:eastAsia="Arial" w:hAnsi="Arial"/>
                <w:sz w:val="13"/>
                <w:szCs w:val="13"/>
                <w:color w:val="auto"/>
                <w:w w:val="92"/>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2"/>
              </w:rPr>
              <w:t>☑</w:t>
            </w:r>
          </w:p>
        </w:tc>
        <w:tc>
          <w:tcPr>
            <w:tcW w:w="3820" w:type="dxa"/>
            <w:vAlign w:val="bottom"/>
          </w:tcPr>
          <w:p>
            <w:pPr>
              <w:ind w:left="80"/>
              <w:spacing w:after="0"/>
              <w:rPr>
                <w:sz w:val="20"/>
                <w:szCs w:val="20"/>
                <w:color w:val="auto"/>
              </w:rPr>
            </w:pPr>
            <w:r>
              <w:rPr>
                <w:rFonts w:ascii="Arial" w:cs="Arial" w:eastAsia="Arial" w:hAnsi="Arial"/>
                <w:sz w:val="13"/>
                <w:szCs w:val="13"/>
                <w:color w:val="auto"/>
              </w:rPr>
              <w:t>No o</w:t>
            </w:r>
          </w:p>
        </w:tc>
      </w:tr>
    </w:tbl>
    <w:p>
      <w:pPr>
        <w:spacing w:after="0" w:line="40" w:lineRule="exact"/>
        <w:rPr>
          <w:sz w:val="20"/>
          <w:szCs w:val="20"/>
          <w:color w:val="auto"/>
        </w:rPr>
      </w:pPr>
    </w:p>
    <w:p>
      <w:pPr>
        <w:ind w:left="660"/>
        <w:spacing w:after="0" w:line="138" w:lineRule="exact"/>
        <w:tabs>
          <w:tab w:leader="none" w:pos="810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15(d) of the Securities Exchange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340" w:right="12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280" w:firstLine="324"/>
        <w:spacing w:after="0" w:line="169"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340" w:right="12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0"/>
          <w:szCs w:val="20"/>
          <w:color w:val="auto"/>
        </w:rPr>
      </w:pPr>
    </w:p>
    <w:p>
      <w:pPr>
        <w:ind w:left="3900" w:hanging="5360"/>
        <w:spacing w:after="0" w:line="206" w:lineRule="exact"/>
        <w:tabs>
          <w:tab w:leader="none" w:pos="38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7" w:lineRule="exact"/>
        <w:rPr>
          <w:sz w:val="20"/>
          <w:szCs w:val="20"/>
          <w:color w:val="auto"/>
        </w:rPr>
      </w:pPr>
    </w:p>
    <w:p>
      <w:pPr>
        <w:ind w:left="660"/>
        <w:spacing w:after="0" w:line="138" w:lineRule="exact"/>
        <w:tabs>
          <w:tab w:leader="none" w:pos="71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left="340" w:right="420" w:firstLine="324"/>
        <w:spacing w:after="0" w:line="320" w:lineRule="auto"/>
        <w:rPr>
          <w:sz w:val="20"/>
          <w:szCs w:val="20"/>
          <w:color w:val="auto"/>
        </w:rPr>
      </w:pPr>
      <w:r>
        <w:rPr>
          <w:rFonts w:ascii="Arial" w:cs="Arial" w:eastAsia="Arial" w:hAnsi="Arial"/>
          <w:sz w:val="12"/>
          <w:szCs w:val="12"/>
          <w:color w:val="auto"/>
        </w:rPr>
        <w:t>As of June 30, 2010, the aggregate market value of the registrant’s common stock held by non-affiliates was approximately $780.1 million based upon the closing sales price of the registrant’s common stock on The Nasdaq Global Market on such date. The number of shares of the registrant’s Common Stock outstanding as of February 21, 2011 was 28,603,792.</w:t>
      </w:r>
    </w:p>
    <w:p>
      <w:pPr>
        <w:spacing w:after="0" w:line="70"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Certain portions of the registrant’s definitive proxy statement relating to its scheduled May 17, 2011 Annual Meeting of Stockholders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85725</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0" w:type="dxa"/>
            <w:vAlign w:val="bottom"/>
            <w:gridSpan w:val="4"/>
          </w:tcPr>
          <w:p>
            <w:pPr>
              <w:ind w:left="460"/>
              <w:spacing w:after="0"/>
              <w:rPr>
                <w:sz w:val="20"/>
                <w:szCs w:val="20"/>
                <w:color w:val="auto"/>
              </w:rPr>
            </w:pPr>
            <w:r>
              <w:rPr>
                <w:rFonts w:ascii="Arial" w:cs="Arial" w:eastAsia="Arial" w:hAnsi="Arial"/>
                <w:sz w:val="13"/>
                <w:szCs w:val="13"/>
                <w:b w:val="1"/>
                <w:bCs w:val="1"/>
                <w:color w:val="auto"/>
              </w:rPr>
              <w:t>TABLE OF CONTENTS</w:t>
            </w:r>
          </w:p>
        </w:tc>
        <w:tc>
          <w:tcPr>
            <w:tcW w:w="340" w:type="dxa"/>
            <w:vAlign w:val="bottom"/>
          </w:tcPr>
          <w:p>
            <w:pPr>
              <w:spacing w:after="0"/>
              <w:rPr>
                <w:sz w:val="14"/>
                <w:szCs w:val="14"/>
                <w:color w:val="auto"/>
              </w:rPr>
            </w:pPr>
          </w:p>
        </w:tc>
      </w:tr>
      <w:tr>
        <w:trPr>
          <w:trHeight w:val="286"/>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40" w:type="dxa"/>
            <w:vAlign w:val="bottom"/>
            <w:tcBorders>
              <w:bottom w:val="single" w:sz="8" w:color="0000EE"/>
            </w:tcBorders>
            <w:gridSpan w:val="3"/>
          </w:tcPr>
          <w:p>
            <w:pPr>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980" w:type="dxa"/>
            <w:vAlign w:val="bottom"/>
            <w:gridSpan w:val="8"/>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Borders>
              <w:bottom w:val="single" w:sz="8" w:color="0000EE"/>
            </w:tcBorders>
            <w:gridSpan w:val="6"/>
          </w:tcPr>
          <w:p>
            <w:pPr>
              <w:spacing w:after="0" w:line="138" w:lineRule="exact"/>
              <w:rPr>
                <w:rFonts w:ascii="Arial" w:cs="Arial" w:eastAsia="Arial" w:hAnsi="Arial"/>
                <w:sz w:val="13"/>
                <w:szCs w:val="13"/>
                <w:color w:val="0000EE"/>
                <w:w w:val="75"/>
              </w:rPr>
            </w:pPr>
            <w:hyperlink w:anchor="page4">
              <w:r>
                <w:rPr>
                  <w:rFonts w:ascii="Arial" w:cs="Arial" w:eastAsia="Arial" w:hAnsi="Arial"/>
                  <w:sz w:val="13"/>
                  <w:szCs w:val="13"/>
                  <w:color w:val="0000EE"/>
                  <w:w w:val="75"/>
                </w:rPr>
                <w:t>Item 1.</w:t>
              </w:r>
            </w:hyperlink>
          </w:p>
        </w:tc>
        <w:tc>
          <w:tcPr>
            <w:tcW w:w="660" w:type="dxa"/>
            <w:vAlign w:val="bottom"/>
            <w:gridSpan w:val="3"/>
          </w:tcPr>
          <w:p>
            <w:pPr>
              <w:spacing w:after="0"/>
              <w:rPr>
                <w:sz w:val="11"/>
                <w:szCs w:val="11"/>
                <w:color w:val="auto"/>
              </w:rPr>
            </w:pPr>
          </w:p>
        </w:tc>
        <w:tc>
          <w:tcPr>
            <w:tcW w:w="460" w:type="dxa"/>
            <w:vAlign w:val="bottom"/>
            <w:tcBorders>
              <w:bottom w:val="single" w:sz="8" w:color="0000EE"/>
            </w:tcBorders>
          </w:tcPr>
          <w:p>
            <w:pPr>
              <w:spacing w:after="0" w:line="138" w:lineRule="exact"/>
              <w:rPr>
                <w:rFonts w:ascii="Arial" w:cs="Arial" w:eastAsia="Arial" w:hAnsi="Arial"/>
                <w:sz w:val="13"/>
                <w:szCs w:val="13"/>
                <w:color w:val="0000EE"/>
                <w:w w:val="83"/>
              </w:rPr>
            </w:pPr>
            <w:hyperlink w:anchor="page4">
              <w:r>
                <w:rPr>
                  <w:rFonts w:ascii="Arial" w:cs="Arial" w:eastAsia="Arial" w:hAnsi="Arial"/>
                  <w:sz w:val="13"/>
                  <w:szCs w:val="13"/>
                  <w:color w:val="0000EE"/>
                  <w:w w:val="83"/>
                </w:rPr>
                <w:t>Business</w:t>
              </w:r>
            </w:hyperlink>
          </w:p>
        </w:tc>
        <w:tc>
          <w:tcPr>
            <w:tcW w:w="7760" w:type="dxa"/>
            <w:vAlign w:val="bottom"/>
            <w:gridSpan w:val="1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w:t>
            </w: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Borders>
              <w:bottom w:val="single" w:sz="8" w:color="0000EE"/>
            </w:tcBorders>
            <w:gridSpan w:val="8"/>
          </w:tcPr>
          <w:p>
            <w:pPr>
              <w:spacing w:after="0" w:line="138" w:lineRule="exact"/>
              <w:rPr>
                <w:rFonts w:ascii="Arial" w:cs="Arial" w:eastAsia="Arial" w:hAnsi="Arial"/>
                <w:sz w:val="13"/>
                <w:szCs w:val="13"/>
                <w:color w:val="0000EE"/>
                <w:w w:val="86"/>
              </w:rPr>
            </w:pPr>
            <w:hyperlink w:anchor="page15">
              <w:r>
                <w:rPr>
                  <w:rFonts w:ascii="Arial" w:cs="Arial" w:eastAsia="Arial" w:hAnsi="Arial"/>
                  <w:sz w:val="13"/>
                  <w:szCs w:val="13"/>
                  <w:color w:val="0000EE"/>
                  <w:w w:val="86"/>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5">
              <w:r>
                <w:rPr>
                  <w:rFonts w:ascii="Arial" w:cs="Arial" w:eastAsia="Arial" w:hAnsi="Arial"/>
                  <w:sz w:val="13"/>
                  <w:szCs w:val="13"/>
                  <w:color w:val="0000EE"/>
                  <w:w w:val="88"/>
                </w:rPr>
                <w:t>Risk Factors</w:t>
              </w:r>
            </w:hyperlink>
          </w:p>
        </w:tc>
        <w:tc>
          <w:tcPr>
            <w:tcW w:w="7560" w:type="dxa"/>
            <w:vAlign w:val="bottom"/>
            <w:gridSpan w:val="10"/>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w:t>
            </w: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7"/>
          </w:tcPr>
          <w:p>
            <w:pPr>
              <w:spacing w:after="0" w:line="138" w:lineRule="exact"/>
              <w:rPr>
                <w:rFonts w:ascii="Arial" w:cs="Arial" w:eastAsia="Arial" w:hAnsi="Arial"/>
                <w:sz w:val="13"/>
                <w:szCs w:val="13"/>
                <w:color w:val="0000EE"/>
                <w:w w:val="82"/>
              </w:rPr>
            </w:pPr>
            <w:hyperlink w:anchor="page28">
              <w:r>
                <w:rPr>
                  <w:rFonts w:ascii="Arial" w:cs="Arial" w:eastAsia="Arial" w:hAnsi="Arial"/>
                  <w:sz w:val="13"/>
                  <w:szCs w:val="13"/>
                  <w:color w:val="0000EE"/>
                  <w:w w:val="82"/>
                </w:rPr>
                <w:t>Item 1B.</w:t>
              </w:r>
            </w:hyperlink>
          </w:p>
        </w:tc>
        <w:tc>
          <w:tcPr>
            <w:tcW w:w="580" w:type="dxa"/>
            <w:vAlign w:val="bottom"/>
            <w:gridSpan w:val="2"/>
          </w:tcPr>
          <w:p>
            <w:pPr>
              <w:spacing w:after="0"/>
              <w:rPr>
                <w:sz w:val="11"/>
                <w:szCs w:val="11"/>
                <w:color w:val="auto"/>
              </w:rPr>
            </w:pPr>
          </w:p>
        </w:tc>
        <w:tc>
          <w:tcPr>
            <w:tcW w:w="8220" w:type="dxa"/>
            <w:vAlign w:val="bottom"/>
            <w:gridSpan w:val="13"/>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Unresolved Staff Comments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25</w:t>
            </w: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Borders>
              <w:top w:val="single" w:sz="8" w:color="0000EE"/>
            </w:tcBorders>
            <w:gridSpan w:val="6"/>
          </w:tcPr>
          <w:p>
            <w:pPr>
              <w:spacing w:after="0" w:line="138" w:lineRule="exact"/>
              <w:rPr>
                <w:rFonts w:ascii="Arial" w:cs="Arial" w:eastAsia="Arial" w:hAnsi="Arial"/>
                <w:sz w:val="13"/>
                <w:szCs w:val="13"/>
                <w:color w:val="0000EE"/>
                <w:w w:val="75"/>
              </w:rPr>
            </w:pPr>
            <w:hyperlink w:anchor="page28">
              <w:r>
                <w:rPr>
                  <w:rFonts w:ascii="Arial" w:cs="Arial" w:eastAsia="Arial" w:hAnsi="Arial"/>
                  <w:sz w:val="13"/>
                  <w:szCs w:val="13"/>
                  <w:color w:val="0000EE"/>
                  <w:w w:val="75"/>
                </w:rPr>
                <w:t>Item 2.</w:t>
              </w:r>
            </w:hyperlink>
          </w:p>
        </w:tc>
        <w:tc>
          <w:tcPr>
            <w:tcW w:w="80" w:type="dxa"/>
            <w:vAlign w:val="bottom"/>
            <w:tcBorders>
              <w:top w:val="single" w:sz="8" w:color="0000EE"/>
            </w:tcBorders>
          </w:tcPr>
          <w:p>
            <w:pPr>
              <w:spacing w:after="0"/>
              <w:rPr>
                <w:sz w:val="11"/>
                <w:szCs w:val="11"/>
                <w:color w:val="auto"/>
              </w:rPr>
            </w:pPr>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Properties</w:t>
              </w:r>
            </w:hyperlink>
          </w:p>
        </w:tc>
        <w:tc>
          <w:tcPr>
            <w:tcW w:w="6740" w:type="dxa"/>
            <w:vAlign w:val="bottom"/>
            <w:gridSpan w:val="6"/>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25</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gridSpan w:val="6"/>
          </w:tcPr>
          <w:p>
            <w:pPr>
              <w:spacing w:after="0" w:line="138" w:lineRule="exact"/>
              <w:rPr>
                <w:rFonts w:ascii="Arial" w:cs="Arial" w:eastAsia="Arial" w:hAnsi="Arial"/>
                <w:sz w:val="13"/>
                <w:szCs w:val="13"/>
                <w:color w:val="0000EE"/>
                <w:w w:val="75"/>
              </w:rPr>
            </w:pPr>
            <w:hyperlink w:anchor="page28">
              <w:r>
                <w:rPr>
                  <w:rFonts w:ascii="Arial" w:cs="Arial" w:eastAsia="Arial" w:hAnsi="Arial"/>
                  <w:sz w:val="13"/>
                  <w:szCs w:val="13"/>
                  <w:color w:val="0000EE"/>
                  <w:w w:val="75"/>
                </w:rPr>
                <w:t>Item 3.</w:t>
              </w:r>
            </w:hyperlink>
          </w:p>
        </w:tc>
        <w:tc>
          <w:tcPr>
            <w:tcW w:w="660" w:type="dxa"/>
            <w:vAlign w:val="bottom"/>
            <w:gridSpan w:val="3"/>
          </w:tcPr>
          <w:p>
            <w:pPr>
              <w:spacing w:after="0"/>
              <w:rPr>
                <w:sz w:val="11"/>
                <w:szCs w:val="11"/>
                <w:color w:val="auto"/>
              </w:rPr>
            </w:pPr>
          </w:p>
        </w:tc>
        <w:tc>
          <w:tcPr>
            <w:tcW w:w="8220" w:type="dxa"/>
            <w:vAlign w:val="bottom"/>
            <w:gridSpan w:val="13"/>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Legal Proceedings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25</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5"/>
        </w:trPr>
        <w:tc>
          <w:tcPr>
            <w:tcW w:w="1420" w:type="dxa"/>
            <w:vAlign w:val="bottom"/>
            <w:gridSpan w:val="11"/>
          </w:tcPr>
          <w:p>
            <w:pPr>
              <w:spacing w:after="0"/>
              <w:rPr>
                <w:rFonts w:ascii="Arial" w:cs="Arial" w:eastAsia="Arial" w:hAnsi="Arial"/>
                <w:sz w:val="13"/>
                <w:szCs w:val="13"/>
                <w:b w:val="1"/>
                <w:bCs w:val="1"/>
                <w:color w:val="0000EE"/>
              </w:rPr>
            </w:pPr>
            <w:hyperlink w:anchor="page29">
              <w:r>
                <w:rPr>
                  <w:rFonts w:ascii="Arial" w:cs="Arial" w:eastAsia="Arial" w:hAnsi="Arial"/>
                  <w:sz w:val="13"/>
                  <w:szCs w:val="13"/>
                  <w:b w:val="1"/>
                  <w:bCs w:val="1"/>
                  <w:color w:val="0000EE"/>
                </w:rPr>
                <w:t>PART II</w:t>
              </w:r>
            </w:hyperlink>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58"/>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9"/>
          </w:tcPr>
          <w:p>
            <w:pPr>
              <w:spacing w:after="0"/>
              <w:rPr>
                <w:sz w:val="20"/>
                <w:szCs w:val="20"/>
                <w:color w:val="auto"/>
              </w:rPr>
            </w:pPr>
            <w:r>
              <w:rPr>
                <w:rFonts w:ascii="Arial" w:cs="Arial" w:eastAsia="Arial" w:hAnsi="Arial"/>
                <w:sz w:val="13"/>
                <w:szCs w:val="13"/>
                <w:color w:val="auto"/>
              </w:rPr>
              <w:t>Item 4.</w:t>
            </w:r>
          </w:p>
        </w:tc>
        <w:tc>
          <w:tcPr>
            <w:tcW w:w="8220" w:type="dxa"/>
            <w:vAlign w:val="bottom"/>
            <w:gridSpan w:val="13"/>
          </w:tcPr>
          <w:p>
            <w:pPr>
              <w:spacing w:after="0"/>
              <w:rPr>
                <w:sz w:val="20"/>
                <w:szCs w:val="20"/>
                <w:color w:val="auto"/>
              </w:rPr>
            </w:pPr>
            <w:r>
              <w:rPr>
                <w:rFonts w:ascii="Arial" w:cs="Arial" w:eastAsia="Arial" w:hAnsi="Arial"/>
                <w:sz w:val="13"/>
                <w:szCs w:val="13"/>
                <w:color w:val="auto"/>
              </w:rPr>
              <w:t>Reserved</w:t>
            </w:r>
          </w:p>
        </w:tc>
        <w:tc>
          <w:tcPr>
            <w:tcW w:w="34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Borders>
              <w:bottom w:val="single" w:sz="8" w:color="0000EE"/>
            </w:tcBorders>
            <w:gridSpan w:val="6"/>
          </w:tcPr>
          <w:p>
            <w:pPr>
              <w:spacing w:after="0" w:line="137" w:lineRule="exact"/>
              <w:rPr>
                <w:rFonts w:ascii="Arial" w:cs="Arial" w:eastAsia="Arial" w:hAnsi="Arial"/>
                <w:sz w:val="13"/>
                <w:szCs w:val="13"/>
                <w:color w:val="0000EE"/>
                <w:w w:val="75"/>
              </w:rPr>
            </w:pPr>
            <w:hyperlink w:anchor="page29">
              <w:r>
                <w:rPr>
                  <w:rFonts w:ascii="Arial" w:cs="Arial" w:eastAsia="Arial" w:hAnsi="Arial"/>
                  <w:sz w:val="13"/>
                  <w:szCs w:val="13"/>
                  <w:color w:val="0000EE"/>
                  <w:w w:val="75"/>
                </w:rPr>
                <w:t>Item 5.</w:t>
              </w:r>
            </w:hyperlink>
          </w:p>
        </w:tc>
        <w:tc>
          <w:tcPr>
            <w:tcW w:w="660" w:type="dxa"/>
            <w:vAlign w:val="bottom"/>
            <w:gridSpan w:val="3"/>
          </w:tcPr>
          <w:p>
            <w:pPr>
              <w:spacing w:after="0"/>
              <w:rPr>
                <w:sz w:val="11"/>
                <w:szCs w:val="11"/>
                <w:color w:val="auto"/>
              </w:rPr>
            </w:pPr>
          </w:p>
        </w:tc>
        <w:tc>
          <w:tcPr>
            <w:tcW w:w="5880" w:type="dxa"/>
            <w:vAlign w:val="bottom"/>
            <w:tcBorders>
              <w:bottom w:val="single" w:sz="8" w:color="0000EE"/>
            </w:tcBorders>
            <w:gridSpan w:val="12"/>
          </w:tcPr>
          <w:p>
            <w:pPr>
              <w:spacing w:after="0" w:line="137" w:lineRule="exact"/>
              <w:rPr>
                <w:rFonts w:ascii="Arial" w:cs="Arial" w:eastAsia="Arial" w:hAnsi="Arial"/>
                <w:sz w:val="13"/>
                <w:szCs w:val="13"/>
                <w:color w:val="0000EE"/>
                <w:w w:val="91"/>
              </w:rPr>
            </w:pPr>
            <w:hyperlink w:anchor="page29">
              <w:r>
                <w:rPr>
                  <w:rFonts w:ascii="Arial" w:cs="Arial" w:eastAsia="Arial" w:hAnsi="Arial"/>
                  <w:sz w:val="13"/>
                  <w:szCs w:val="13"/>
                  <w:color w:val="0000EE"/>
                  <w:w w:val="91"/>
                </w:rPr>
                <w:t>Market for Registrant’s Common Equity, Related Stockholder Matters and Issuer Purchases of Equity Securities</w:t>
              </w:r>
            </w:hyperlink>
          </w:p>
        </w:tc>
        <w:tc>
          <w:tcPr>
            <w:tcW w:w="2340" w:type="dxa"/>
            <w:vAlign w:val="bottom"/>
          </w:tcPr>
          <w:p>
            <w:pPr>
              <w:spacing w:after="0"/>
              <w:rPr>
                <w:sz w:val="11"/>
                <w:szCs w:val="11"/>
                <w:color w:val="auto"/>
              </w:rPr>
            </w:pPr>
          </w:p>
        </w:tc>
        <w:tc>
          <w:tcPr>
            <w:tcW w:w="340" w:type="dxa"/>
            <w:vAlign w:val="bottom"/>
          </w:tcPr>
          <w:p>
            <w:pPr>
              <w:jc w:val="right"/>
              <w:ind w:right="35"/>
              <w:spacing w:after="0" w:line="137" w:lineRule="exact"/>
              <w:rPr>
                <w:sz w:val="20"/>
                <w:szCs w:val="20"/>
                <w:color w:val="auto"/>
              </w:rPr>
            </w:pPr>
            <w:r>
              <w:rPr>
                <w:rFonts w:ascii="Arial" w:cs="Arial" w:eastAsia="Arial" w:hAnsi="Arial"/>
                <w:sz w:val="13"/>
                <w:szCs w:val="13"/>
                <w:color w:val="auto"/>
              </w:rPr>
              <w:t>26</w:t>
            </w: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Borders>
              <w:bottom w:val="single" w:sz="8" w:color="0000EE"/>
            </w:tcBorders>
            <w:gridSpan w:val="6"/>
          </w:tcPr>
          <w:p>
            <w:pPr>
              <w:spacing w:after="0" w:line="138" w:lineRule="exact"/>
              <w:rPr>
                <w:rFonts w:ascii="Arial" w:cs="Arial" w:eastAsia="Arial" w:hAnsi="Arial"/>
                <w:sz w:val="13"/>
                <w:szCs w:val="13"/>
                <w:color w:val="0000EE"/>
                <w:w w:val="75"/>
              </w:rPr>
            </w:pPr>
            <w:hyperlink w:anchor="page30">
              <w:r>
                <w:rPr>
                  <w:rFonts w:ascii="Arial" w:cs="Arial" w:eastAsia="Arial" w:hAnsi="Arial"/>
                  <w:sz w:val="13"/>
                  <w:szCs w:val="13"/>
                  <w:color w:val="0000EE"/>
                  <w:w w:val="75"/>
                </w:rPr>
                <w:t>Item 6.</w:t>
              </w:r>
            </w:hyperlink>
          </w:p>
        </w:tc>
        <w:tc>
          <w:tcPr>
            <w:tcW w:w="660" w:type="dxa"/>
            <w:vAlign w:val="bottom"/>
            <w:gridSpan w:val="3"/>
          </w:tcPr>
          <w:p>
            <w:pPr>
              <w:spacing w:after="0"/>
              <w:rPr>
                <w:sz w:val="11"/>
                <w:szCs w:val="11"/>
                <w:color w:val="auto"/>
              </w:rPr>
            </w:pPr>
          </w:p>
        </w:tc>
        <w:tc>
          <w:tcPr>
            <w:tcW w:w="1240" w:type="dxa"/>
            <w:vAlign w:val="bottom"/>
            <w:tcBorders>
              <w:bottom w:val="single" w:sz="8" w:color="0000EE"/>
            </w:tcBorders>
            <w:gridSpan w:val="5"/>
          </w:tcPr>
          <w:p>
            <w:pPr>
              <w:spacing w:after="0" w:line="138" w:lineRule="exact"/>
              <w:rPr>
                <w:rFonts w:ascii="Arial" w:cs="Arial" w:eastAsia="Arial" w:hAnsi="Arial"/>
                <w:sz w:val="13"/>
                <w:szCs w:val="13"/>
                <w:color w:val="0000EE"/>
                <w:w w:val="88"/>
              </w:rPr>
            </w:pPr>
            <w:hyperlink w:anchor="page30">
              <w:r>
                <w:rPr>
                  <w:rFonts w:ascii="Arial" w:cs="Arial" w:eastAsia="Arial" w:hAnsi="Arial"/>
                  <w:sz w:val="13"/>
                  <w:szCs w:val="13"/>
                  <w:color w:val="0000EE"/>
                  <w:w w:val="88"/>
                </w:rPr>
                <w:t>Selected Financial Data</w:t>
              </w:r>
            </w:hyperlink>
          </w:p>
        </w:tc>
        <w:tc>
          <w:tcPr>
            <w:tcW w:w="6980" w:type="dxa"/>
            <w:vAlign w:val="bottom"/>
            <w:gridSpan w:val="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Borders>
              <w:bottom w:val="single" w:sz="8" w:color="0000EE"/>
            </w:tcBorders>
            <w:gridSpan w:val="6"/>
          </w:tcPr>
          <w:p>
            <w:pPr>
              <w:spacing w:after="0" w:line="138" w:lineRule="exact"/>
              <w:rPr>
                <w:rFonts w:ascii="Arial" w:cs="Arial" w:eastAsia="Arial" w:hAnsi="Arial"/>
                <w:sz w:val="13"/>
                <w:szCs w:val="13"/>
                <w:color w:val="0000EE"/>
                <w:w w:val="75"/>
              </w:rPr>
            </w:pPr>
            <w:hyperlink w:anchor="page31">
              <w:r>
                <w:rPr>
                  <w:rFonts w:ascii="Arial" w:cs="Arial" w:eastAsia="Arial" w:hAnsi="Arial"/>
                  <w:sz w:val="13"/>
                  <w:szCs w:val="13"/>
                  <w:color w:val="0000EE"/>
                  <w:w w:val="75"/>
                </w:rPr>
                <w:t>Item 7.</w:t>
              </w:r>
            </w:hyperlink>
          </w:p>
        </w:tc>
        <w:tc>
          <w:tcPr>
            <w:tcW w:w="660" w:type="dxa"/>
            <w:vAlign w:val="bottom"/>
            <w:gridSpan w:val="3"/>
          </w:tcPr>
          <w:p>
            <w:pPr>
              <w:spacing w:after="0"/>
              <w:rPr>
                <w:sz w:val="11"/>
                <w:szCs w:val="11"/>
                <w:color w:val="auto"/>
              </w:rPr>
            </w:pPr>
          </w:p>
        </w:tc>
        <w:tc>
          <w:tcPr>
            <w:tcW w:w="4700" w:type="dxa"/>
            <w:vAlign w:val="bottom"/>
            <w:tcBorders>
              <w:bottom w:val="single" w:sz="8" w:color="0000EE"/>
            </w:tcBorders>
            <w:gridSpan w:val="11"/>
          </w:tcPr>
          <w:p>
            <w:pPr>
              <w:spacing w:after="0" w:line="138" w:lineRule="exact"/>
              <w:rPr>
                <w:rFonts w:ascii="Arial" w:cs="Arial" w:eastAsia="Arial" w:hAnsi="Arial"/>
                <w:sz w:val="13"/>
                <w:szCs w:val="13"/>
                <w:color w:val="0000EE"/>
                <w:w w:val="91"/>
              </w:rPr>
            </w:pPr>
            <w:hyperlink w:anchor="page31">
              <w:r>
                <w:rPr>
                  <w:rFonts w:ascii="Arial" w:cs="Arial" w:eastAsia="Arial" w:hAnsi="Arial"/>
                  <w:sz w:val="13"/>
                  <w:szCs w:val="13"/>
                  <w:color w:val="0000EE"/>
                  <w:w w:val="91"/>
                </w:rPr>
                <w:t>Management’s Discussion and Analysis of Financial Condition and Results of Operations</w:t>
              </w:r>
            </w:hyperlink>
          </w:p>
        </w:tc>
        <w:tc>
          <w:tcPr>
            <w:tcW w:w="3520" w:type="dxa"/>
            <w:vAlign w:val="bottom"/>
            <w:gridSpan w:val="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gridSpan w:val="8"/>
          </w:tcPr>
          <w:p>
            <w:pPr>
              <w:spacing w:after="0" w:line="138" w:lineRule="exact"/>
              <w:rPr>
                <w:rFonts w:ascii="Arial" w:cs="Arial" w:eastAsia="Arial" w:hAnsi="Arial"/>
                <w:sz w:val="13"/>
                <w:szCs w:val="13"/>
                <w:color w:val="0000EE"/>
                <w:w w:val="86"/>
              </w:rPr>
            </w:pPr>
            <w:hyperlink w:anchor="page48">
              <w:r>
                <w:rPr>
                  <w:rFonts w:ascii="Arial" w:cs="Arial" w:eastAsia="Arial" w:hAnsi="Arial"/>
                  <w:sz w:val="13"/>
                  <w:szCs w:val="13"/>
                  <w:color w:val="0000EE"/>
                  <w:w w:val="86"/>
                </w:rPr>
                <w:t>Item 7A.</w:t>
              </w:r>
            </w:hyperlink>
          </w:p>
        </w:tc>
        <w:tc>
          <w:tcPr>
            <w:tcW w:w="560" w:type="dxa"/>
            <w:vAlign w:val="bottom"/>
          </w:tcPr>
          <w:p>
            <w:pPr>
              <w:spacing w:after="0"/>
              <w:rPr>
                <w:sz w:val="11"/>
                <w:szCs w:val="11"/>
                <w:color w:val="auto"/>
              </w:rPr>
            </w:pPr>
          </w:p>
        </w:tc>
        <w:tc>
          <w:tcPr>
            <w:tcW w:w="8220" w:type="dxa"/>
            <w:vAlign w:val="bottom"/>
            <w:gridSpan w:val="13"/>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Quantitative and Qualitative Disclosures About Market Risk</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45</w:t>
            </w: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Borders>
              <w:top w:val="single" w:sz="8" w:color="0000EE"/>
              <w:bottom w:val="single" w:sz="8" w:color="0000EE"/>
            </w:tcBorders>
            <w:gridSpan w:val="6"/>
          </w:tcPr>
          <w:p>
            <w:pPr>
              <w:spacing w:after="0" w:line="138" w:lineRule="exact"/>
              <w:rPr>
                <w:rFonts w:ascii="Arial" w:cs="Arial" w:eastAsia="Arial" w:hAnsi="Arial"/>
                <w:sz w:val="13"/>
                <w:szCs w:val="13"/>
                <w:color w:val="0000EE"/>
                <w:w w:val="75"/>
              </w:rPr>
            </w:pPr>
            <w:hyperlink w:anchor="page49">
              <w:r>
                <w:rPr>
                  <w:rFonts w:ascii="Arial" w:cs="Arial" w:eastAsia="Arial" w:hAnsi="Arial"/>
                  <w:sz w:val="13"/>
                  <w:szCs w:val="13"/>
                  <w:color w:val="0000EE"/>
                  <w:w w:val="75"/>
                </w:rPr>
                <w:t>Item 8.</w:t>
              </w:r>
            </w:hyperlink>
          </w:p>
        </w:tc>
        <w:tc>
          <w:tcPr>
            <w:tcW w:w="100" w:type="dxa"/>
            <w:vAlign w:val="bottom"/>
            <w:tcBorders>
              <w:top w:val="single" w:sz="8" w:color="0000EE"/>
            </w:tcBorders>
            <w:gridSpan w:val="2"/>
          </w:tcPr>
          <w:p>
            <w:pPr>
              <w:spacing w:after="0"/>
              <w:rPr>
                <w:sz w:val="11"/>
                <w:szCs w:val="11"/>
                <w:color w:val="auto"/>
              </w:rPr>
            </w:pPr>
          </w:p>
        </w:tc>
        <w:tc>
          <w:tcPr>
            <w:tcW w:w="560" w:type="dxa"/>
            <w:vAlign w:val="bottom"/>
          </w:tcPr>
          <w:p>
            <w:pPr>
              <w:spacing w:after="0"/>
              <w:rPr>
                <w:sz w:val="11"/>
                <w:szCs w:val="11"/>
                <w:color w:val="auto"/>
              </w:rPr>
            </w:pPr>
          </w:p>
        </w:tc>
        <w:tc>
          <w:tcPr>
            <w:tcW w:w="242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89"/>
              </w:rPr>
            </w:pPr>
            <w:hyperlink w:anchor="page49">
              <w:r>
                <w:rPr>
                  <w:rFonts w:ascii="Arial" w:cs="Arial" w:eastAsia="Arial" w:hAnsi="Arial"/>
                  <w:sz w:val="13"/>
                  <w:szCs w:val="13"/>
                  <w:color w:val="0000EE"/>
                  <w:w w:val="89"/>
                </w:rPr>
                <w:t>Financial Statements and Supplementary Data</w:t>
              </w:r>
            </w:hyperlink>
          </w:p>
        </w:tc>
        <w:tc>
          <w:tcPr>
            <w:tcW w:w="740" w:type="dxa"/>
            <w:vAlign w:val="bottom"/>
            <w:tcBorders>
              <w:top w:val="single" w:sz="8" w:color="0000EE"/>
            </w:tcBorders>
          </w:tcPr>
          <w:p>
            <w:pPr>
              <w:spacing w:after="0"/>
              <w:rPr>
                <w:sz w:val="11"/>
                <w:szCs w:val="11"/>
                <w:color w:val="auto"/>
              </w:rPr>
            </w:pPr>
          </w:p>
        </w:tc>
        <w:tc>
          <w:tcPr>
            <w:tcW w:w="5060" w:type="dxa"/>
            <w:vAlign w:val="bottom"/>
            <w:gridSpan w:val="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46</w:t>
            </w: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gridSpan w:val="6"/>
          </w:tcPr>
          <w:p>
            <w:pPr>
              <w:spacing w:after="0" w:line="138" w:lineRule="exact"/>
              <w:rPr>
                <w:rFonts w:ascii="Arial" w:cs="Arial" w:eastAsia="Arial" w:hAnsi="Arial"/>
                <w:sz w:val="13"/>
                <w:szCs w:val="13"/>
                <w:color w:val="0000EE"/>
                <w:w w:val="75"/>
              </w:rPr>
            </w:pPr>
            <w:hyperlink w:anchor="page49">
              <w:r>
                <w:rPr>
                  <w:rFonts w:ascii="Arial" w:cs="Arial" w:eastAsia="Arial" w:hAnsi="Arial"/>
                  <w:sz w:val="13"/>
                  <w:szCs w:val="13"/>
                  <w:color w:val="0000EE"/>
                  <w:w w:val="75"/>
                </w:rPr>
                <w:t>Item 9.</w:t>
              </w:r>
            </w:hyperlink>
          </w:p>
        </w:tc>
        <w:tc>
          <w:tcPr>
            <w:tcW w:w="660" w:type="dxa"/>
            <w:vAlign w:val="bottom"/>
            <w:gridSpan w:val="3"/>
          </w:tcPr>
          <w:p>
            <w:pPr>
              <w:spacing w:after="0"/>
              <w:rPr>
                <w:sz w:val="11"/>
                <w:szCs w:val="11"/>
                <w:color w:val="auto"/>
              </w:rPr>
            </w:pPr>
          </w:p>
        </w:tc>
        <w:tc>
          <w:tcPr>
            <w:tcW w:w="8220" w:type="dxa"/>
            <w:vAlign w:val="bottom"/>
            <w:gridSpan w:val="13"/>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46</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gridSpan w:val="8"/>
          </w:tcPr>
          <w:p>
            <w:pPr>
              <w:spacing w:after="0" w:line="138" w:lineRule="exact"/>
              <w:rPr>
                <w:rFonts w:ascii="Arial" w:cs="Arial" w:eastAsia="Arial" w:hAnsi="Arial"/>
                <w:sz w:val="13"/>
                <w:szCs w:val="13"/>
                <w:color w:val="0000EE"/>
                <w:w w:val="86"/>
              </w:rPr>
            </w:pPr>
            <w:hyperlink w:anchor="page49">
              <w:r>
                <w:rPr>
                  <w:rFonts w:ascii="Arial" w:cs="Arial" w:eastAsia="Arial" w:hAnsi="Arial"/>
                  <w:sz w:val="13"/>
                  <w:szCs w:val="13"/>
                  <w:color w:val="0000EE"/>
                  <w:w w:val="86"/>
                </w:rPr>
                <w:t>Item 9A.</w:t>
              </w:r>
            </w:hyperlink>
          </w:p>
        </w:tc>
        <w:tc>
          <w:tcPr>
            <w:tcW w:w="560" w:type="dxa"/>
            <w:vAlign w:val="bottom"/>
          </w:tcPr>
          <w:p>
            <w:pPr>
              <w:spacing w:after="0"/>
              <w:rPr>
                <w:sz w:val="11"/>
                <w:szCs w:val="11"/>
                <w:color w:val="auto"/>
              </w:rPr>
            </w:pPr>
          </w:p>
        </w:tc>
        <w:tc>
          <w:tcPr>
            <w:tcW w:w="8220" w:type="dxa"/>
            <w:vAlign w:val="bottom"/>
            <w:gridSpan w:val="13"/>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Controls and Procedures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46</w:t>
            </w: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Borders>
              <w:top w:val="single" w:sz="8" w:color="0000EE"/>
            </w:tcBorders>
            <w:gridSpan w:val="8"/>
          </w:tcPr>
          <w:p>
            <w:pPr>
              <w:spacing w:after="0" w:line="138" w:lineRule="exact"/>
              <w:rPr>
                <w:rFonts w:ascii="Arial" w:cs="Arial" w:eastAsia="Arial" w:hAnsi="Arial"/>
                <w:sz w:val="13"/>
                <w:szCs w:val="13"/>
                <w:color w:val="0000EE"/>
                <w:w w:val="86"/>
              </w:rPr>
            </w:pPr>
            <w:hyperlink w:anchor="page50">
              <w:r>
                <w:rPr>
                  <w:rFonts w:ascii="Arial" w:cs="Arial" w:eastAsia="Arial" w:hAnsi="Arial"/>
                  <w:sz w:val="13"/>
                  <w:szCs w:val="13"/>
                  <w:color w:val="0000EE"/>
                  <w:w w:val="86"/>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Other Information</w:t>
              </w:r>
            </w:hyperlink>
          </w:p>
        </w:tc>
        <w:tc>
          <w:tcPr>
            <w:tcW w:w="6940" w:type="dxa"/>
            <w:vAlign w:val="bottom"/>
            <w:gridSpan w:val="7"/>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47</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5"/>
        </w:trPr>
        <w:tc>
          <w:tcPr>
            <w:tcW w:w="540" w:type="dxa"/>
            <w:vAlign w:val="bottom"/>
            <w:tcBorders>
              <w:bottom w:val="single" w:sz="8" w:color="0000EE"/>
            </w:tcBorders>
            <w:gridSpan w:val="6"/>
          </w:tcPr>
          <w:p>
            <w:pPr>
              <w:spacing w:after="0"/>
              <w:rPr>
                <w:rFonts w:ascii="Arial" w:cs="Arial" w:eastAsia="Arial" w:hAnsi="Arial"/>
                <w:sz w:val="13"/>
                <w:szCs w:val="13"/>
                <w:b w:val="1"/>
                <w:bCs w:val="1"/>
                <w:color w:val="0000EE"/>
              </w:rPr>
            </w:pPr>
            <w:hyperlink w:anchor="page51">
              <w:r>
                <w:rPr>
                  <w:rFonts w:ascii="Arial" w:cs="Arial" w:eastAsia="Arial" w:hAnsi="Arial"/>
                  <w:sz w:val="13"/>
                  <w:szCs w:val="13"/>
                  <w:b w:val="1"/>
                  <w:bCs w:val="1"/>
                  <w:color w:val="0000EE"/>
                </w:rPr>
                <w:t>PART III</w:t>
              </w:r>
            </w:hyperlink>
          </w:p>
        </w:tc>
        <w:tc>
          <w:tcPr>
            <w:tcW w:w="880" w:type="dxa"/>
            <w:vAlign w:val="bottom"/>
            <w:gridSpan w:val="5"/>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58"/>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9"/>
          </w:tcPr>
          <w:p>
            <w:pPr>
              <w:spacing w:after="0"/>
              <w:rPr>
                <w:sz w:val="20"/>
                <w:szCs w:val="20"/>
                <w:color w:val="auto"/>
              </w:rPr>
            </w:pPr>
            <w:r>
              <w:rPr>
                <w:rFonts w:ascii="Arial" w:cs="Arial" w:eastAsia="Arial" w:hAnsi="Arial"/>
                <w:sz w:val="13"/>
                <w:szCs w:val="13"/>
                <w:color w:val="auto"/>
              </w:rPr>
              <w:t>Item 10.</w:t>
            </w:r>
          </w:p>
        </w:tc>
        <w:tc>
          <w:tcPr>
            <w:tcW w:w="8220" w:type="dxa"/>
            <w:vAlign w:val="bottom"/>
            <w:gridSpan w:val="13"/>
          </w:tcPr>
          <w:p>
            <w:pPr>
              <w:spacing w:after="0"/>
              <w:rPr>
                <w:sz w:val="20"/>
                <w:szCs w:val="20"/>
                <w:color w:val="auto"/>
              </w:rPr>
            </w:pPr>
            <w:r>
              <w:rPr>
                <w:rFonts w:ascii="Arial" w:cs="Arial" w:eastAsia="Arial" w:hAnsi="Arial"/>
                <w:sz w:val="13"/>
                <w:szCs w:val="13"/>
                <w:color w:val="auto"/>
              </w:rPr>
              <w:t>Directors, Executive Officers and Corporate Governance</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48</w:t>
            </w:r>
          </w:p>
        </w:tc>
      </w:tr>
      <w:tr>
        <w:trPr>
          <w:trHeight w:val="157"/>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9"/>
          </w:tcPr>
          <w:p>
            <w:pPr>
              <w:spacing w:after="0"/>
              <w:rPr>
                <w:sz w:val="20"/>
                <w:szCs w:val="20"/>
                <w:color w:val="auto"/>
              </w:rPr>
            </w:pPr>
            <w:r>
              <w:rPr>
                <w:rFonts w:ascii="Arial" w:cs="Arial" w:eastAsia="Arial" w:hAnsi="Arial"/>
                <w:sz w:val="13"/>
                <w:szCs w:val="13"/>
                <w:color w:val="auto"/>
              </w:rPr>
              <w:t>Item 11.</w:t>
            </w:r>
          </w:p>
        </w:tc>
        <w:tc>
          <w:tcPr>
            <w:tcW w:w="8220" w:type="dxa"/>
            <w:vAlign w:val="bottom"/>
            <w:gridSpan w:val="13"/>
          </w:tcPr>
          <w:p>
            <w:pPr>
              <w:spacing w:after="0"/>
              <w:rPr>
                <w:sz w:val="20"/>
                <w:szCs w:val="20"/>
                <w:color w:val="auto"/>
              </w:rPr>
            </w:pPr>
            <w:r>
              <w:rPr>
                <w:rFonts w:ascii="Arial" w:cs="Arial" w:eastAsia="Arial" w:hAnsi="Arial"/>
                <w:sz w:val="13"/>
                <w:szCs w:val="13"/>
                <w:color w:val="auto"/>
              </w:rPr>
              <w:t>Executive Compensation</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48</w:t>
            </w:r>
          </w:p>
        </w:tc>
      </w:tr>
      <w:tr>
        <w:trPr>
          <w:trHeight w:val="157"/>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9"/>
          </w:tcPr>
          <w:p>
            <w:pPr>
              <w:spacing w:after="0"/>
              <w:rPr>
                <w:sz w:val="20"/>
                <w:szCs w:val="20"/>
                <w:color w:val="auto"/>
              </w:rPr>
            </w:pPr>
            <w:r>
              <w:rPr>
                <w:rFonts w:ascii="Arial" w:cs="Arial" w:eastAsia="Arial" w:hAnsi="Arial"/>
                <w:sz w:val="13"/>
                <w:szCs w:val="13"/>
                <w:color w:val="auto"/>
              </w:rPr>
              <w:t>Item 12.</w:t>
            </w:r>
          </w:p>
        </w:tc>
        <w:tc>
          <w:tcPr>
            <w:tcW w:w="8220" w:type="dxa"/>
            <w:vAlign w:val="bottom"/>
            <w:gridSpan w:val="13"/>
          </w:tcPr>
          <w:p>
            <w:pPr>
              <w:spacing w:after="0"/>
              <w:rPr>
                <w:sz w:val="20"/>
                <w:szCs w:val="20"/>
                <w:color w:val="auto"/>
              </w:rPr>
            </w:pPr>
            <w:r>
              <w:rPr>
                <w:rFonts w:ascii="Arial" w:cs="Arial" w:eastAsia="Arial" w:hAnsi="Arial"/>
                <w:sz w:val="13"/>
                <w:szCs w:val="13"/>
                <w:color w:val="auto"/>
              </w:rPr>
              <w:t>Security Ownership of Certain Beneficial Owners and Management and Related Stockholder Matters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48</w:t>
            </w:r>
          </w:p>
        </w:tc>
      </w:tr>
      <w:tr>
        <w:trPr>
          <w:trHeight w:val="157"/>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9"/>
          </w:tcPr>
          <w:p>
            <w:pPr>
              <w:spacing w:after="0"/>
              <w:rPr>
                <w:sz w:val="20"/>
                <w:szCs w:val="20"/>
                <w:color w:val="auto"/>
              </w:rPr>
            </w:pPr>
            <w:r>
              <w:rPr>
                <w:rFonts w:ascii="Arial" w:cs="Arial" w:eastAsia="Arial" w:hAnsi="Arial"/>
                <w:sz w:val="13"/>
                <w:szCs w:val="13"/>
                <w:color w:val="auto"/>
              </w:rPr>
              <w:t>Item 13.</w:t>
            </w:r>
          </w:p>
        </w:tc>
        <w:tc>
          <w:tcPr>
            <w:tcW w:w="8220" w:type="dxa"/>
            <w:vAlign w:val="bottom"/>
            <w:gridSpan w:val="13"/>
          </w:tcPr>
          <w:p>
            <w:pPr>
              <w:spacing w:after="0"/>
              <w:rPr>
                <w:sz w:val="20"/>
                <w:szCs w:val="20"/>
                <w:color w:val="auto"/>
              </w:rPr>
            </w:pPr>
            <w:r>
              <w:rPr>
                <w:rFonts w:ascii="Arial" w:cs="Arial" w:eastAsia="Arial" w:hAnsi="Arial"/>
                <w:sz w:val="13"/>
                <w:szCs w:val="13"/>
                <w:color w:val="auto"/>
              </w:rPr>
              <w:t>Certain Relationships, Related Transactions, and Director Independence</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48</w:t>
            </w:r>
          </w:p>
        </w:tc>
      </w:tr>
      <w:tr>
        <w:trPr>
          <w:trHeight w:val="165"/>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9"/>
          </w:tcPr>
          <w:p>
            <w:pPr>
              <w:spacing w:after="0"/>
              <w:rPr>
                <w:sz w:val="20"/>
                <w:szCs w:val="20"/>
                <w:color w:val="auto"/>
              </w:rPr>
            </w:pPr>
            <w:r>
              <w:rPr>
                <w:rFonts w:ascii="Arial" w:cs="Arial" w:eastAsia="Arial" w:hAnsi="Arial"/>
                <w:sz w:val="13"/>
                <w:szCs w:val="13"/>
                <w:color w:val="auto"/>
              </w:rPr>
              <w:t>Item 14.</w:t>
            </w:r>
          </w:p>
        </w:tc>
        <w:tc>
          <w:tcPr>
            <w:tcW w:w="8220" w:type="dxa"/>
            <w:vAlign w:val="bottom"/>
            <w:gridSpan w:val="13"/>
          </w:tcPr>
          <w:p>
            <w:pPr>
              <w:spacing w:after="0"/>
              <w:rPr>
                <w:sz w:val="20"/>
                <w:szCs w:val="20"/>
                <w:color w:val="auto"/>
              </w:rPr>
            </w:pPr>
            <w:r>
              <w:rPr>
                <w:rFonts w:ascii="Arial" w:cs="Arial" w:eastAsia="Arial" w:hAnsi="Arial"/>
                <w:sz w:val="13"/>
                <w:szCs w:val="13"/>
                <w:color w:val="auto"/>
              </w:rPr>
              <w:t>Principal Accountant Fees and Services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48</w:t>
            </w:r>
          </w:p>
        </w:tc>
      </w:tr>
      <w:tr>
        <w:trPr>
          <w:trHeight w:val="247"/>
        </w:trPr>
        <w:tc>
          <w:tcPr>
            <w:tcW w:w="1420" w:type="dxa"/>
            <w:vAlign w:val="bottom"/>
            <w:gridSpan w:val="11"/>
          </w:tcPr>
          <w:p>
            <w:pPr>
              <w:spacing w:after="0"/>
              <w:rPr>
                <w:rFonts w:ascii="Arial" w:cs="Arial" w:eastAsia="Arial" w:hAnsi="Arial"/>
                <w:sz w:val="13"/>
                <w:szCs w:val="13"/>
                <w:b w:val="1"/>
                <w:bCs w:val="1"/>
                <w:color w:val="0000EE"/>
              </w:rPr>
            </w:pPr>
            <w:hyperlink w:anchor="page52">
              <w:r>
                <w:rPr>
                  <w:rFonts w:ascii="Arial" w:cs="Arial" w:eastAsia="Arial" w:hAnsi="Arial"/>
                  <w:sz w:val="13"/>
                  <w:szCs w:val="13"/>
                  <w:b w:val="1"/>
                  <w:bCs w:val="1"/>
                  <w:color w:val="0000EE"/>
                </w:rPr>
                <w:t>PART IV</w:t>
              </w:r>
            </w:hyperlink>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9"/>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Item 15.</w:t>
              </w:r>
            </w:hyperlink>
          </w:p>
        </w:tc>
        <w:tc>
          <w:tcPr>
            <w:tcW w:w="8220" w:type="dxa"/>
            <w:vAlign w:val="bottom"/>
            <w:gridSpan w:val="13"/>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Exhibit and Financial Statements Schedules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49</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420" w:type="dxa"/>
            <w:vAlign w:val="bottom"/>
            <w:gridSpan w:val="11"/>
          </w:tcPr>
          <w:p>
            <w:pPr>
              <w:spacing w:after="0" w:line="138" w:lineRule="exact"/>
              <w:rPr>
                <w:rFonts w:ascii="Arial" w:cs="Arial" w:eastAsia="Arial" w:hAnsi="Arial"/>
                <w:sz w:val="13"/>
                <w:szCs w:val="13"/>
                <w:color w:val="0000EE"/>
              </w:rPr>
            </w:pPr>
            <w:hyperlink w:anchor="page60">
              <w:r>
                <w:rPr>
                  <w:rFonts w:ascii="Arial" w:cs="Arial" w:eastAsia="Arial" w:hAnsi="Arial"/>
                  <w:sz w:val="13"/>
                  <w:szCs w:val="13"/>
                  <w:color w:val="0000EE"/>
                </w:rPr>
                <w:t>Signatures</w:t>
              </w:r>
            </w:hyperlink>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57</w:t>
            </w:r>
          </w:p>
        </w:tc>
      </w:tr>
      <w:tr>
        <w:trPr>
          <w:trHeight w:val="20"/>
        </w:trPr>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720" w:type="dxa"/>
            <w:vAlign w:val="bottom"/>
            <w:tcBorders>
              <w:bottom w:val="single" w:sz="8" w:color="0000EE"/>
            </w:tcBorders>
            <w:gridSpan w:val="7"/>
          </w:tcPr>
          <w:p>
            <w:pPr>
              <w:spacing w:after="0" w:line="138" w:lineRule="exact"/>
              <w:rPr>
                <w:sz w:val="20"/>
                <w:szCs w:val="20"/>
                <w:color w:val="auto"/>
              </w:rPr>
            </w:pPr>
            <w:r>
              <w:rPr>
                <w:rFonts w:ascii="Arial" w:cs="Arial" w:eastAsia="Arial" w:hAnsi="Arial"/>
                <w:sz w:val="13"/>
                <w:szCs w:val="13"/>
                <w:color w:val="0000EE"/>
                <w:w w:val="90"/>
              </w:rPr>
              <w:t>EX-10.17.(A)</w:t>
            </w:r>
          </w:p>
        </w:tc>
        <w:tc>
          <w:tcPr>
            <w:tcW w:w="660" w:type="dxa"/>
            <w:vAlign w:val="bottom"/>
            <w:gridSpan w:val="3"/>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1380" w:type="dxa"/>
            <w:vAlign w:val="bottom"/>
            <w:gridSpan w:val="10"/>
          </w:tcPr>
          <w:p>
            <w:pPr>
              <w:spacing w:after="0" w:line="138" w:lineRule="exact"/>
              <w:rPr>
                <w:sz w:val="20"/>
                <w:szCs w:val="20"/>
                <w:color w:val="auto"/>
              </w:rPr>
            </w:pPr>
            <w:r>
              <w:rPr>
                <w:rFonts w:ascii="Arial" w:cs="Arial" w:eastAsia="Arial" w:hAnsi="Arial"/>
                <w:sz w:val="13"/>
                <w:szCs w:val="13"/>
                <w:color w:val="0000EE"/>
              </w:rPr>
              <w:t>EX-10.28.(B)</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80" w:type="dxa"/>
            <w:vAlign w:val="bottom"/>
            <w:tcBorders>
              <w:top w:val="single" w:sz="8" w:color="0000EE"/>
              <w:bottom w:val="single" w:sz="8" w:color="0000EE"/>
            </w:tcBorders>
          </w:tcPr>
          <w:p>
            <w:pPr>
              <w:spacing w:after="0" w:line="138" w:lineRule="exact"/>
              <w:rPr>
                <w:sz w:val="20"/>
                <w:szCs w:val="20"/>
                <w:color w:val="auto"/>
              </w:rPr>
            </w:pPr>
            <w:r>
              <w:rPr>
                <w:rFonts w:ascii="Arial" w:cs="Arial" w:eastAsia="Arial" w:hAnsi="Arial"/>
                <w:sz w:val="13"/>
                <w:szCs w:val="13"/>
                <w:color w:val="0000EE"/>
                <w:w w:val="93"/>
              </w:rPr>
              <w:t>EX-21</w:t>
            </w:r>
          </w:p>
        </w:tc>
        <w:tc>
          <w:tcPr>
            <w:tcW w:w="340" w:type="dxa"/>
            <w:vAlign w:val="bottom"/>
            <w:tcBorders>
              <w:top w:val="single" w:sz="8" w:color="0000EE"/>
            </w:tcBorders>
            <w:gridSpan w:val="6"/>
          </w:tcPr>
          <w:p>
            <w:pPr>
              <w:spacing w:after="0"/>
              <w:rPr>
                <w:sz w:val="11"/>
                <w:szCs w:val="11"/>
                <w:color w:val="auto"/>
              </w:rPr>
            </w:pPr>
          </w:p>
        </w:tc>
        <w:tc>
          <w:tcPr>
            <w:tcW w:w="660" w:type="dxa"/>
            <w:vAlign w:val="bottom"/>
            <w:gridSpan w:val="3"/>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80" w:type="dxa"/>
            <w:vAlign w:val="bottom"/>
            <w:tcBorders>
              <w:bottom w:val="single" w:sz="8" w:color="0000EE"/>
            </w:tcBorders>
          </w:tcPr>
          <w:p>
            <w:pPr>
              <w:spacing w:after="0" w:line="138" w:lineRule="exact"/>
              <w:rPr>
                <w:sz w:val="20"/>
                <w:szCs w:val="20"/>
                <w:color w:val="auto"/>
              </w:rPr>
            </w:pPr>
            <w:r>
              <w:rPr>
                <w:rFonts w:ascii="Arial" w:cs="Arial" w:eastAsia="Arial" w:hAnsi="Arial"/>
                <w:sz w:val="13"/>
                <w:szCs w:val="13"/>
                <w:color w:val="0000EE"/>
                <w:w w:val="93"/>
              </w:rPr>
              <w:t>EX-23</w:t>
            </w:r>
          </w:p>
        </w:tc>
        <w:tc>
          <w:tcPr>
            <w:tcW w:w="1000" w:type="dxa"/>
            <w:vAlign w:val="bottom"/>
            <w:gridSpan w:val="9"/>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INSTANCE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SCHEMA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CALCULATION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LABELS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PRESENTATION LINKBASE DOCUMENT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102235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terms “we,” “our,” “us,” “Company” and “Integra” refer to Integra LifeSciences Holdings Corporation, a Delaware corporation, and its subsidiaries unless the context suggests otherwise.</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Integra, headquartered in Plainsboro, New Jersey, is a world leader in medical devices. We employ approximately 3,000 people around the world who are dedicated to limiting uncertainty for surgeons, so they can concentrate on providing the best patient care. Integra offers innovative solutions in orthopedic surgery, neurosurgery, spine surgery, and reconstructive and general surgery. Revenues grew to $732.1 million in 2010, an increase of 7% from $682.5 million in 2009.</w:t>
      </w:r>
    </w:p>
    <w:p>
      <w:pPr>
        <w:spacing w:after="0" w:line="67"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Integra’s orthopedic products include devices and implants for foot and ankle, hand and wrist, tendon and peripheral nerve protection and repair, wound repair and spine. Integra is a leader in cranial neurosurgery, offering a broad portfolio of implants, devices, instruments and systems used in neurosurgery, neuromonitoring, neurotrauma, and related critical care. In the United States, we are one of the largest providers of surgical instruments to hospitals, surgery centers and alternate care sites, including physician and dental offices.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goal is to become a global leader in the development, manufacturing and marketing of medical devices, implants and instruments. Key elements of our strategy include:</w:t>
      </w:r>
    </w:p>
    <w:p>
      <w:pPr>
        <w:spacing w:after="0" w:line="108" w:lineRule="exact"/>
        <w:rPr>
          <w:sz w:val="20"/>
          <w:szCs w:val="20"/>
          <w:color w:val="auto"/>
        </w:rPr>
      </w:pPr>
    </w:p>
    <w:p>
      <w:pPr>
        <w:ind w:left="1080" w:right="400" w:firstLine="383"/>
        <w:spacing w:after="0" w:line="371" w:lineRule="auto"/>
        <w:rPr>
          <w:sz w:val="20"/>
          <w:szCs w:val="20"/>
          <w:color w:val="auto"/>
        </w:rPr>
      </w:pPr>
      <w:r>
        <w:rPr>
          <w:rFonts w:ascii="Arial" w:cs="Arial" w:eastAsia="Arial" w:hAnsi="Arial"/>
          <w:sz w:val="11"/>
          <w:szCs w:val="11"/>
          <w:i w:val="1"/>
          <w:iCs w:val="1"/>
          <w:color w:val="auto"/>
        </w:rPr>
        <w:t xml:space="preserve">Limiting Uncertainty. </w:t>
      </w:r>
      <w:r>
        <w:rPr>
          <w:rFonts w:ascii="Arial" w:cs="Arial" w:eastAsia="Arial" w:hAnsi="Arial"/>
          <w:sz w:val="11"/>
          <w:szCs w:val="11"/>
          <w:color w:val="auto"/>
        </w:rPr>
        <w:t>We work with customers whose time is at a premium. We are committed to limit the surgeon’s uncertainty by making our products and processes</w:t>
      </w:r>
      <w:r>
        <w:rPr>
          <w:rFonts w:ascii="Arial" w:cs="Arial" w:eastAsia="Arial" w:hAnsi="Arial"/>
          <w:sz w:val="11"/>
          <w:szCs w:val="11"/>
          <w:i w:val="1"/>
          <w:iCs w:val="1"/>
          <w:color w:val="auto"/>
        </w:rPr>
        <w:t xml:space="preserve"> </w:t>
      </w:r>
      <w:r>
        <w:rPr>
          <w:rFonts w:ascii="Arial" w:cs="Arial" w:eastAsia="Arial" w:hAnsi="Arial"/>
          <w:sz w:val="11"/>
          <w:szCs w:val="11"/>
          <w:color w:val="auto"/>
        </w:rPr>
        <w:t>simpler, involving surgeons in new product development, and ensuring that we have the best trained professionals who can anticipate the needs of our customers.</w:t>
      </w:r>
    </w:p>
    <w:p>
      <w:pPr>
        <w:spacing w:after="0" w:line="12"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 xml:space="preserve">Driving a cohesive corporate identity. </w:t>
      </w:r>
      <w:r>
        <w:rPr>
          <w:rFonts w:ascii="Arial" w:cs="Arial" w:eastAsia="Arial" w:hAnsi="Arial"/>
          <w:sz w:val="12"/>
          <w:szCs w:val="12"/>
          <w:color w:val="auto"/>
        </w:rPr>
        <w:t>We have defined a clear brand position around limiting uncertainty and are tying our individual products to the Integra brand.</w:t>
      </w:r>
    </w:p>
    <w:p>
      <w:pPr>
        <w:spacing w:after="0" w:line="108"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Marketing innovative medical devices. </w:t>
      </w:r>
      <w:r>
        <w:rPr>
          <w:rFonts w:ascii="Arial" w:cs="Arial" w:eastAsia="Arial" w:hAnsi="Arial"/>
          <w:sz w:val="13"/>
          <w:szCs w:val="13"/>
          <w:color w:val="auto"/>
        </w:rPr>
        <w:t>We develop innovative medical devices for orthopedic and spinal surgery, neurosurgery, and general surgery.</w:t>
      </w:r>
    </w:p>
    <w:p>
      <w:pPr>
        <w:spacing w:after="0" w:line="96" w:lineRule="exact"/>
        <w:rPr>
          <w:sz w:val="20"/>
          <w:szCs w:val="20"/>
          <w:color w:val="auto"/>
        </w:rPr>
      </w:pPr>
    </w:p>
    <w:p>
      <w:pPr>
        <w:ind w:left="1080" w:right="80" w:firstLine="383"/>
        <w:spacing w:after="0" w:line="276" w:lineRule="auto"/>
        <w:rPr>
          <w:sz w:val="20"/>
          <w:szCs w:val="20"/>
          <w:color w:val="auto"/>
        </w:rPr>
      </w:pPr>
      <w:r>
        <w:rPr>
          <w:rFonts w:ascii="Arial" w:cs="Arial" w:eastAsia="Arial" w:hAnsi="Arial"/>
          <w:sz w:val="13"/>
          <w:szCs w:val="13"/>
          <w:i w:val="1"/>
          <w:iCs w:val="1"/>
          <w:color w:val="auto"/>
        </w:rPr>
        <w:t xml:space="preserve">Investing in sales distribution channels to increase market penetration. </w:t>
      </w:r>
      <w:r>
        <w:rPr>
          <w:rFonts w:ascii="Arial" w:cs="Arial" w:eastAsia="Arial" w:hAnsi="Arial"/>
          <w:sz w:val="13"/>
          <w:szCs w:val="13"/>
          <w:color w:val="auto"/>
        </w:rPr>
        <w:t>Around the world, we employ more than 500 direct sales professionals and engage a large network of</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distributors to sell our products. The recruitment, management, and training of sales organizations is one of our core competencies.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Achieving economies of scale. </w:t>
      </w:r>
      <w:r>
        <w:rPr>
          <w:rFonts w:ascii="Arial" w:cs="Arial" w:eastAsia="Arial" w:hAnsi="Arial"/>
          <w:sz w:val="13"/>
          <w:szCs w:val="13"/>
          <w:color w:val="auto"/>
        </w:rPr>
        <w:t>We are integrating facilities around the world to become more efficient, and are simplifying our product lines.</w:t>
      </w:r>
    </w:p>
    <w:p>
      <w:pPr>
        <w:spacing w:after="0" w:line="96" w:lineRule="exact"/>
        <w:rPr>
          <w:sz w:val="20"/>
          <w:szCs w:val="20"/>
          <w:color w:val="auto"/>
        </w:rPr>
      </w:pPr>
    </w:p>
    <w:p>
      <w:pPr>
        <w:ind w:left="1080" w:right="100" w:firstLine="383"/>
        <w:spacing w:after="0" w:line="276" w:lineRule="auto"/>
        <w:rPr>
          <w:sz w:val="20"/>
          <w:szCs w:val="20"/>
          <w:color w:val="auto"/>
        </w:rPr>
      </w:pPr>
      <w:r>
        <w:rPr>
          <w:rFonts w:ascii="Arial" w:cs="Arial" w:eastAsia="Arial" w:hAnsi="Arial"/>
          <w:sz w:val="13"/>
          <w:szCs w:val="13"/>
          <w:i w:val="1"/>
          <w:iCs w:val="1"/>
          <w:color w:val="auto"/>
        </w:rPr>
        <w:t xml:space="preserve">Developing innovative products based on core technologies. </w:t>
      </w:r>
      <w:r>
        <w:rPr>
          <w:rFonts w:ascii="Arial" w:cs="Arial" w:eastAsia="Arial" w:hAnsi="Arial"/>
          <w:sz w:val="13"/>
          <w:szCs w:val="13"/>
          <w:color w:val="auto"/>
        </w:rPr>
        <w:t>We are a leader in regenerative medicine. Our proprietary highly purified collagen scaffold technology provides</w:t>
      </w:r>
      <w:r>
        <w:rPr>
          <w:rFonts w:ascii="Arial" w:cs="Arial" w:eastAsia="Arial" w:hAnsi="Arial"/>
          <w:sz w:val="13"/>
          <w:szCs w:val="13"/>
          <w:i w:val="1"/>
          <w:iCs w:val="1"/>
          <w:color w:val="auto"/>
        </w:rPr>
        <w:t xml:space="preserve"> </w:t>
      </w:r>
      <w:r>
        <w:rPr>
          <w:rFonts w:ascii="Arial" w:cs="Arial" w:eastAsia="Arial" w:hAnsi="Arial"/>
          <w:sz w:val="13"/>
          <w:szCs w:val="13"/>
          <w:color w:val="auto"/>
        </w:rPr>
        <w:t>the foundation of our products for duraplasty, dermal regeneration, nerve and tendon repair, and bone repair and regeneration.</w:t>
      </w:r>
    </w:p>
    <w:p>
      <w:pPr>
        <w:spacing w:after="0" w:line="59" w:lineRule="exact"/>
        <w:rPr>
          <w:sz w:val="20"/>
          <w:szCs w:val="20"/>
          <w:color w:val="auto"/>
        </w:rPr>
      </w:pPr>
    </w:p>
    <w:p>
      <w:pPr>
        <w:ind w:left="1080" w:firstLine="383"/>
        <w:spacing w:after="0" w:line="296" w:lineRule="auto"/>
        <w:rPr>
          <w:sz w:val="20"/>
          <w:szCs w:val="20"/>
          <w:color w:val="auto"/>
        </w:rPr>
      </w:pPr>
      <w:r>
        <w:rPr>
          <w:rFonts w:ascii="Arial" w:cs="Arial" w:eastAsia="Arial" w:hAnsi="Arial"/>
          <w:sz w:val="12"/>
          <w:szCs w:val="12"/>
          <w:i w:val="1"/>
          <w:iCs w:val="1"/>
          <w:color w:val="auto"/>
        </w:rPr>
        <w:t xml:space="preserve">Acquiring or in-licensing products that fit existing sales channels. </w:t>
      </w:r>
      <w:r>
        <w:rPr>
          <w:rFonts w:ascii="Arial" w:cs="Arial" w:eastAsia="Arial" w:hAnsi="Arial"/>
          <w:sz w:val="12"/>
          <w:szCs w:val="12"/>
          <w:color w:val="auto"/>
        </w:rPr>
        <w:t>We acquire businesses and acquire or in-license new products to increase the efficiency and size of our sales</w:t>
      </w:r>
      <w:r>
        <w:rPr>
          <w:rFonts w:ascii="Arial" w:cs="Arial" w:eastAsia="Arial" w:hAnsi="Arial"/>
          <w:sz w:val="12"/>
          <w:szCs w:val="12"/>
          <w:i w:val="1"/>
          <w:iCs w:val="1"/>
          <w:color w:val="auto"/>
        </w:rPr>
        <w:t xml:space="preserve"> </w:t>
      </w:r>
      <w:r>
        <w:rPr>
          <w:rFonts w:ascii="Arial" w:cs="Arial" w:eastAsia="Arial" w:hAnsi="Arial"/>
          <w:sz w:val="12"/>
          <w:szCs w:val="12"/>
          <w:color w:val="auto"/>
        </w:rPr>
        <w:t>force, stimulate the development of new products, and extend the commercial lives of existing products. We have completed seven acquisitions since the beginning of 2008, have demonstrated that we can quickly and profitably integrate new products and businesses, and have an active program to evaluate similar opportunities.</w:t>
      </w:r>
    </w:p>
    <w:p>
      <w:pPr>
        <w:spacing w:after="0" w:line="5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Our strategy allows us to expand our presence in hospitals and other health care facilities, to integrate acquired products effectively, to create strong sales platforms, and to drive short- and long-term revenue and earnings growth.</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DISTRIBUTION</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sell products in three market categories — Orthopedics, Neurosurgery and Instruments. Within the Orthopedics category, we sell through a large direct sales organization and through specialty distributors focused on their respective surgical specialties. Neurosurgery sells products through directly-employed sales representatives. Instruments are sold through two sales channels, both directly and through distributors and wholesalers, depending on the customer call point.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 — OVERVIEW</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Integra is a fully integrated medical device company offering thousands of products for the medical specialties which we target. Our objective is to develop, acquire or otherwise provide any product that will limit uncertainty in the surgical theatre. These products include implants, instruments and equipment for orthopedic surgery, neurosurgery and general surgery. We distinguish ourselves by emphasizing the importance of the relatively new field of regenerative medicine — which we define as surgical implants derived from our proprietary collagen matrix technology.</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2010, approximately 23% of our revenues came from regenerative medicine. While these products vary in composition and structure, they operate under similar principles. We build our matrix products from collagen, which is the basic structural protein that binds cells together in the body. Our matrices (whether for the dura mater, dermis, peripheral nerves, tendon or bone) provide a scaffold to support the infiltration of the patient’s own cells and the growth of blood vessels. Eventually, those infiltrating cells consume the collagen of the implanted matrix and promote the development of new native extracellular matrix. In their interaction with the patient’s body, our collagen matrices inhibit the formation of scar tissue, so the implant is absorbed over time, leaving healthy native tissue in its place. This basic technology can be applied to many different procedures. We sell these regenerative medicine products through most of our sales channels.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ORTHOPEDICS PRODUCT PORTFOLIO</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orthopedics market category includes products sold by our Extremity Reconstruction and Spine sales organizations.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Integra Extremity Reconstruction Product Portfolio</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Extremity reconstruction is a growing area of the orthopedic market. We define extremity reconstruction to mean the repair of soft tissue and the orthopedic reconstruction of bone in the foot, ankle and leg below the knee, and the hand, wrist, elbow and arm below the shoulder.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Skin and Wound. </w:t>
      </w:r>
      <w:r>
        <w:rPr>
          <w:rFonts w:ascii="Arial" w:cs="Arial" w:eastAsia="Arial" w:hAnsi="Arial"/>
          <w:sz w:val="13"/>
          <w:szCs w:val="13"/>
          <w:color w:val="auto"/>
        </w:rPr>
        <w:t>Our dermal repair and regeneration products are used to treat acute and chronic wounds.</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Integra’s matrix wound dressings are indicated for the management of wounds, including partial and full-thickness wounds, pressure ulcers, venous ulcers, diabetic ulcers, chronic vascular ulcers, tunneled/undermined wounds, surgical wounds (donor sites/grafts, post-laser surgery, podiatric, and wound dehiscence), trauma wounds (abrasions, lacerations, second-degree burns, and skin tears) and draining wounds. We estimate that the market opportunity for products used to treat trauma and chronic wounds in the United States is approximately $1 billion.</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There are currently 24 million people with diabetes in the United States. Approximately 15% of these patients incur one or more diabetic foot ulcers during their lifetime. This population is also 15 times more likely to suffer an amputation due to non-healing diabetic foot ulcers. However, approximately 85% of all amputations are preventable if proper intervention is provided. Approximately 500,000 adults seek treatment for venous leg ulcers annually in the United States.</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b w:val="1"/>
          <w:bCs w:val="1"/>
          <w:i w:val="1"/>
          <w:iCs w:val="1"/>
          <w:color w:val="auto"/>
        </w:rPr>
        <w:t xml:space="preserve">Bone and Joint Fixation Devices and Instruments. </w:t>
      </w:r>
      <w:r>
        <w:rPr>
          <w:rFonts w:ascii="Arial" w:cs="Arial" w:eastAsia="Arial" w:hAnsi="Arial"/>
          <w:sz w:val="13"/>
          <w:szCs w:val="13"/>
          <w:color w:val="auto"/>
        </w:rPr>
        <w:t>We offer the extremity reconstruction surgeon a comprehensive set of bone and joint fixation devices for upper and lower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extremity reconstruction, including orthopedic implants and surgical devices for small bone and joint procedures involving the foot, ankle, hand, wrist and elbow. Our products address both the trauma and reconstructive segments of the extremities market, an estimated $1 billion market in the United States.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b w:val="1"/>
          <w:bCs w:val="1"/>
          <w:i w:val="1"/>
          <w:iCs w:val="1"/>
          <w:color w:val="auto"/>
        </w:rPr>
        <w:t xml:space="preserve">Lower Extremity. </w:t>
      </w:r>
      <w:r>
        <w:rPr>
          <w:rFonts w:ascii="Arial" w:cs="Arial" w:eastAsia="Arial" w:hAnsi="Arial"/>
          <w:sz w:val="12"/>
          <w:szCs w:val="12"/>
          <w:color w:val="auto"/>
        </w:rPr>
        <w:t>We are a leading developer and marketer of specialty implants and instruments specifically designed for foot and ankle surgery. Our customers include orthopedic</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podiatric surgeons specializing in lower extremity injuries, of which there are approximately 2,300 and 6,200, respectively, in the United States. We have a full suite of orthopedic procedure sets to address pathology in the forefoot, midfoot, hindfoot, and ankle. The lower extremity market is estimated to be in excess of $700 million in the United States.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Upper Extremity. </w:t>
      </w:r>
      <w:r>
        <w:rPr>
          <w:rFonts w:ascii="Arial" w:cs="Arial" w:eastAsia="Arial" w:hAnsi="Arial"/>
          <w:sz w:val="13"/>
          <w:szCs w:val="13"/>
          <w:color w:val="auto"/>
        </w:rPr>
        <w:t>For upper extremity reconstruction, we are recognized for the premier implant for wrist arthroplasty, a procedure that restores the function of the arthritic wrist.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other leading products in this therapeutic area are used in small bone fixation, treatment of carpel tunnel syndrome and treatment of cubital tunnel syndrome. The upper extremity market is estimated to be nearly $250 million in the United States.</w:t>
      </w:r>
    </w:p>
    <w:p>
      <w:pPr>
        <w:spacing w:after="0" w:line="67"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b w:val="1"/>
          <w:bCs w:val="1"/>
          <w:i w:val="1"/>
          <w:iCs w:val="1"/>
          <w:color w:val="auto"/>
        </w:rPr>
        <w:t xml:space="preserve">Bone Graft Substitutes for Extremity Reconstruction. </w:t>
      </w:r>
      <w:r>
        <w:rPr>
          <w:rFonts w:ascii="Arial" w:cs="Arial" w:eastAsia="Arial" w:hAnsi="Arial"/>
          <w:sz w:val="13"/>
          <w:szCs w:val="13"/>
          <w:color w:val="auto"/>
        </w:rPr>
        <w:t>Our comprehensive line of synthetic bone graft substitute products includes three distinct products — a bone void filler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manufactured from beta tri-calcium phosphate and type I bovine collagen; demineralized bone matrix (“DBM”); and demineralized bone matrix premixed with cancellous bone. Bone graft substitutes are used in many of the more than 700,000 extremity fusion and osteotomy procedures annually. The extremity reconstruction bone graft market is estimated at more than $50 million annually in the United States.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Nerve and Tendon. </w:t>
      </w:r>
      <w:r>
        <w:rPr>
          <w:rFonts w:ascii="Arial" w:cs="Arial" w:eastAsia="Arial" w:hAnsi="Arial"/>
          <w:sz w:val="13"/>
          <w:szCs w:val="13"/>
          <w:color w:val="auto"/>
        </w:rPr>
        <w:t>Surgeons who specialize in foot or hand orthopedic surgery often have to repair nerves and tendons. To address these needs, we offer regenerative medicine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products for peripheral nerve repair and protection and tendon repair. We estimate that the worldwide market for the repair of severed, injured, compressed and scarred peripheral nerves is approximately $50 million. Tendon and ligament injuries are some of the most common musculoskeletal disorders. Industry sources estimate that there are approximately 700,000 tendon and ligament repair procedures in the United States annually.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Integra Spine Product Portfolio</w:t>
      </w:r>
    </w:p>
    <w:p>
      <w:pPr>
        <w:spacing w:after="0" w:line="96"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Orthopedic and neurological spine surgeons treat debilitating pain arising from disorders, which include degenerative disk disease (“DDD”), deformity, trauma and tumors. DDD is the most common disorder and is expected to increase in the United States due to the aging population. To treat the pain arising from spinal disorders, surgeons may need to perform spinal fusion procedures. We offer comprehensive spinal fusion technologies that are used from the occiput to the sacrum, and a full line of related orthobiologics.</w:t>
      </w:r>
    </w:p>
    <w:p>
      <w:pPr>
        <w:spacing w:after="0" w:line="5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In 2010, the United States spinal implant market, consisting of thoracolumbar fusion devices, cervical fusion devices, interbody fusion devices, and motion preservation technologies, was valued at approximately $5 billion. The United States market size for bone graft substitutes in orthopedic spinal procedures is estimated to be over $500 million.</w:t>
      </w:r>
    </w:p>
    <w:p>
      <w:pPr>
        <w:spacing w:after="0" w:line="35"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b w:val="1"/>
          <w:bCs w:val="1"/>
          <w:i w:val="1"/>
          <w:iCs w:val="1"/>
          <w:color w:val="auto"/>
        </w:rPr>
        <w:t xml:space="preserve">Spinal Fusion Implant Technologies. </w:t>
      </w:r>
      <w:r>
        <w:rPr>
          <w:rFonts w:ascii="Arial" w:cs="Arial" w:eastAsia="Arial" w:hAnsi="Arial"/>
          <w:sz w:val="12"/>
          <w:szCs w:val="12"/>
          <w:color w:val="auto"/>
        </w:rPr>
        <w:t>In 2010, over 250,000 interbody fusion devices were implanted in patients across the United States. The 2010 estimated market size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interbody fusion devices was over $1.5 billion. The market is usually divided by region (cervical or thoracolumbar) and approach (anterior, lateral, posterior, or transforaminal). Interbody/vertebral body replacements are shaped like a cage and used to hold the graft in place during a fusion procedure. Interbody devices are placed in the disc space and filled with bone graft or bone type material. According to industry sources, in 2010, the anterior interbody market was valued at over $200 million. Since its launch in early 2009, our proprietary fusion device has been implanted widely throughout the United States. Our next generation fusion device technology provides an internal locking mechanism that enhances implant stability and reduces the risk of unintended expulsion. In 2010, we launched new implants to aid surgeons with thoracolumbar, cervical and deformity procedures as follows:</w:t>
      </w:r>
    </w:p>
    <w:p>
      <w:pPr>
        <w:spacing w:after="0" w:line="59" w:lineRule="exact"/>
        <w:rPr>
          <w:sz w:val="20"/>
          <w:szCs w:val="20"/>
          <w:color w:val="auto"/>
        </w:rPr>
      </w:pPr>
    </w:p>
    <w:p>
      <w:pPr>
        <w:ind w:left="1080" w:right="40" w:firstLine="383"/>
        <w:spacing w:after="0" w:line="264" w:lineRule="auto"/>
        <w:rPr>
          <w:sz w:val="20"/>
          <w:szCs w:val="20"/>
          <w:color w:val="auto"/>
        </w:rPr>
      </w:pPr>
      <w:r>
        <w:rPr>
          <w:rFonts w:ascii="Arial" w:cs="Arial" w:eastAsia="Arial" w:hAnsi="Arial"/>
          <w:sz w:val="13"/>
          <w:szCs w:val="13"/>
          <w:b w:val="1"/>
          <w:bCs w:val="1"/>
          <w:i w:val="1"/>
          <w:iCs w:val="1"/>
          <w:color w:val="auto"/>
        </w:rPr>
        <w:t xml:space="preserve">Anterior Interbody Fusion Devices. </w:t>
      </w:r>
      <w:r>
        <w:rPr>
          <w:rFonts w:ascii="Arial" w:cs="Arial" w:eastAsia="Arial" w:hAnsi="Arial"/>
          <w:sz w:val="13"/>
          <w:szCs w:val="13"/>
          <w:color w:val="auto"/>
        </w:rPr>
        <w:t>The device used in the thoracolumbar region is an anterior interbody device that combines our novel internal locking mechanism with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integrated screw system. This system is widely used to limit the uncertainty around implant stability and expulsion. The integrated screws reduce the need for a surgeon to provide additional posterior fixation and simplifies the procedures.</w:t>
      </w:r>
    </w:p>
    <w:p>
      <w:pPr>
        <w:spacing w:after="0" w:line="67" w:lineRule="exact"/>
        <w:rPr>
          <w:sz w:val="20"/>
          <w:szCs w:val="20"/>
          <w:color w:val="auto"/>
        </w:rPr>
      </w:pPr>
    </w:p>
    <w:p>
      <w:pPr>
        <w:ind w:left="1080" w:right="180" w:firstLine="383"/>
        <w:spacing w:after="0" w:line="276" w:lineRule="auto"/>
        <w:rPr>
          <w:sz w:val="20"/>
          <w:szCs w:val="20"/>
          <w:color w:val="auto"/>
        </w:rPr>
      </w:pPr>
      <w:r>
        <w:rPr>
          <w:rFonts w:ascii="Arial" w:cs="Arial" w:eastAsia="Arial" w:hAnsi="Arial"/>
          <w:sz w:val="13"/>
          <w:szCs w:val="13"/>
          <w:b w:val="1"/>
          <w:bCs w:val="1"/>
          <w:i w:val="1"/>
          <w:iCs w:val="1"/>
          <w:color w:val="auto"/>
        </w:rPr>
        <w:t xml:space="preserve">Cervical Fixation. </w:t>
      </w:r>
      <w:r>
        <w:rPr>
          <w:rFonts w:ascii="Arial" w:cs="Arial" w:eastAsia="Arial" w:hAnsi="Arial"/>
          <w:sz w:val="13"/>
          <w:szCs w:val="13"/>
          <w:color w:val="auto"/>
        </w:rPr>
        <w:t>To treat disorders of the cervical spine, in 2010 we launched our third anterior cervical plating system. The new system provides an easy to use one-step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locking mechanism on a narrow, low profile plate with intuitive instrumentation. The result is an elegant solution for surgeons who desire simplicity</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anterior cervical procedures. In 2010, the anterior cervical fixation market was estimated to be nearly $800 million.</w:t>
      </w:r>
    </w:p>
    <w:p>
      <w:pPr>
        <w:spacing w:after="0" w:line="96" w:lineRule="exact"/>
        <w:rPr>
          <w:sz w:val="20"/>
          <w:szCs w:val="20"/>
          <w:color w:val="auto"/>
        </w:rPr>
      </w:pPr>
    </w:p>
    <w:p>
      <w:pPr>
        <w:jc w:val="both"/>
        <w:ind w:left="1080" w:right="200" w:firstLine="383"/>
        <w:spacing w:after="0" w:line="264" w:lineRule="auto"/>
        <w:rPr>
          <w:sz w:val="20"/>
          <w:szCs w:val="20"/>
          <w:color w:val="auto"/>
        </w:rPr>
      </w:pPr>
      <w:r>
        <w:rPr>
          <w:rFonts w:ascii="Arial" w:cs="Arial" w:eastAsia="Arial" w:hAnsi="Arial"/>
          <w:sz w:val="13"/>
          <w:szCs w:val="13"/>
          <w:b w:val="1"/>
          <w:bCs w:val="1"/>
          <w:i w:val="1"/>
          <w:iCs w:val="1"/>
          <w:color w:val="auto"/>
        </w:rPr>
        <w:t xml:space="preserve">Deformity Correction. </w:t>
      </w:r>
      <w:r>
        <w:rPr>
          <w:rFonts w:ascii="Arial" w:cs="Arial" w:eastAsia="Arial" w:hAnsi="Arial"/>
          <w:sz w:val="13"/>
          <w:szCs w:val="13"/>
          <w:color w:val="auto"/>
        </w:rPr>
        <w:t>To enhance our treatment options for deformity procedures, in 2010 we launched a stainless steel implant system that provides additional construct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strength and stiffness, which may be necessary to correct abnormal curvitures of the spine. The launch of this system marks an important step in the evolution of the Integra Spine deformity franchise, which we plan to continue to build. The deformity market is estimated to be nearly $400 million.</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b w:val="1"/>
          <w:bCs w:val="1"/>
          <w:i w:val="1"/>
          <w:iCs w:val="1"/>
          <w:color w:val="auto"/>
        </w:rPr>
        <w:t xml:space="preserve">Orthobiologics. </w:t>
      </w:r>
      <w:r>
        <w:rPr>
          <w:rFonts w:ascii="Arial" w:cs="Arial" w:eastAsia="Arial" w:hAnsi="Arial"/>
          <w:sz w:val="13"/>
          <w:szCs w:val="13"/>
          <w:color w:val="auto"/>
        </w:rPr>
        <w:t>We market and sell a range of innovative bone graft substitutes and other related medical devices that are used to enhance the repair and regeneration of bone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spinal and other orthopedic surgical procedures.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Minimally Invasive Solutions. </w:t>
      </w:r>
      <w:r>
        <w:rPr>
          <w:rFonts w:ascii="Arial" w:cs="Arial" w:eastAsia="Arial" w:hAnsi="Arial"/>
          <w:sz w:val="13"/>
          <w:szCs w:val="13"/>
          <w:color w:val="auto"/>
        </w:rPr>
        <w:t>We design, develop, manufacture and sell spinal implant products focused on minimally invasive surgery and motion preservation techniques using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technology from the acquisition of IST and our own internal product initiatives. Minimally invasive fixation systems offer surgeons an opportunity to deliver pedicle screws with a small incision, potentially reducing blood loss and recovery time.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NEUROSURGERY PRODUCT PORTFOLIO</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Our Integra Neurosurgery sales organization sells a full line of products specifically for neurosurgery and neuro critical care. We have products for each step of a cranial procedure and the care of the patient after surgery. We sell equipment used in the neurosurgery operating room and neurosurgery intensive care unit (“NICU”).</w:t>
      </w:r>
    </w:p>
    <w:p>
      <w:pPr>
        <w:spacing w:after="0" w:line="57" w:lineRule="exact"/>
        <w:rPr>
          <w:sz w:val="20"/>
          <w:szCs w:val="20"/>
          <w:color w:val="auto"/>
        </w:rPr>
      </w:pPr>
    </w:p>
    <w:p>
      <w:pPr>
        <w:jc w:val="both"/>
        <w:ind w:left="680" w:right="40" w:firstLine="399"/>
        <w:spacing w:after="0" w:line="298" w:lineRule="auto"/>
        <w:rPr>
          <w:sz w:val="20"/>
          <w:szCs w:val="20"/>
          <w:color w:val="auto"/>
        </w:rPr>
      </w:pPr>
      <w:r>
        <w:rPr>
          <w:rFonts w:ascii="Arial" w:cs="Arial" w:eastAsia="Arial" w:hAnsi="Arial"/>
          <w:sz w:val="12"/>
          <w:szCs w:val="12"/>
          <w:b w:val="1"/>
          <w:bCs w:val="1"/>
          <w:i w:val="1"/>
          <w:iCs w:val="1"/>
          <w:color w:val="auto"/>
        </w:rPr>
        <w:t xml:space="preserve">Tissue Ablation Equipment. </w:t>
      </w:r>
      <w:r>
        <w:rPr>
          <w:rFonts w:ascii="Arial" w:cs="Arial" w:eastAsia="Arial" w:hAnsi="Arial"/>
          <w:sz w:val="12"/>
          <w:szCs w:val="12"/>
          <w:color w:val="auto"/>
        </w:rPr>
        <w:t>Our tissue ablation equipment uses high frequency acoustic pulses to selectively dissect soft tissues according to their density. Integra’s CUSA</w:t>
      </w:r>
      <w:r>
        <w:rPr>
          <w:rFonts w:ascii="Arial" w:cs="Arial" w:eastAsia="Arial" w:hAnsi="Arial"/>
          <w:sz w:val="10"/>
          <w:szCs w:val="10"/>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tissue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ablation system thereby facilitates the ablation of unwanted tissue (such as tumors) adjacent to or attached to vital structures, helping to limit uncertainty for the surgeon. The CUSA</w:t>
      </w:r>
      <w:r>
        <w:rPr>
          <w:rFonts w:ascii="Arial" w:cs="Arial" w:eastAsia="Arial" w:hAnsi="Arial"/>
          <w:sz w:val="10"/>
          <w:szCs w:val="10"/>
          <w:color w:val="auto"/>
        </w:rPr>
        <w:t>®</w:t>
      </w:r>
      <w:r>
        <w:rPr>
          <w:rFonts w:ascii="Arial" w:cs="Arial" w:eastAsia="Arial" w:hAnsi="Arial"/>
          <w:sz w:val="12"/>
          <w:szCs w:val="12"/>
          <w:color w:val="auto"/>
        </w:rPr>
        <w:t xml:space="preserve"> tissue ablation system has been the leading ultrasonic surgical aspirator for over 25 years, and the related accessories for these products generate a recurring revenue stream.</w:t>
      </w:r>
    </w:p>
    <w:p>
      <w:pPr>
        <w:spacing w:after="0" w:line="48"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Our systems are used in over 100,000 procedures annually at over 2,000 centers around the world for the removal of brain tumors, epilepsy foci, and gynecological and liver tumors. According to industry sources, the total United States market for ultrasonic tissue ablation products is estimated at over $60 million. Applications for ultrasonic tissue ablation technology continue to expand, both within neurosurgery and in other surgical specialties, and we are developing accessories to meet these new clinical applications.</w:t>
      </w:r>
    </w:p>
    <w:p>
      <w:pPr>
        <w:spacing w:after="0" w:line="5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b w:val="1"/>
          <w:bCs w:val="1"/>
          <w:i w:val="1"/>
          <w:iCs w:val="1"/>
          <w:color w:val="auto"/>
        </w:rPr>
        <w:t xml:space="preserve">Dural Repair Products. </w:t>
      </w:r>
      <w:r>
        <w:rPr>
          <w:rFonts w:ascii="Arial" w:cs="Arial" w:eastAsia="Arial" w:hAnsi="Arial"/>
          <w:sz w:val="13"/>
          <w:szCs w:val="13"/>
          <w:color w:val="auto"/>
        </w:rPr>
        <w:t>In the United States, over 225,000 craniotomy procedures are performed each year representing a market estimated to be over $500 million. Most of these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surgeries require an incision of the dura mater, which is the tough, fibrous membrane that surrounds and protects the brain and spinal cord. The incision must be repaired, either by suturing or applying a dural graft to prevent cerebrospinal fluid leaks and facilitate healing. Since our introduction of the original DuraGen</w:t>
      </w:r>
      <w:r>
        <w:rPr>
          <w:rFonts w:ascii="Arial" w:cs="Arial" w:eastAsia="Arial" w:hAnsi="Arial"/>
          <w:sz w:val="11"/>
          <w:szCs w:val="11"/>
          <w:color w:val="auto"/>
        </w:rPr>
        <w:t>®</w:t>
      </w:r>
      <w:r>
        <w:rPr>
          <w:rFonts w:ascii="Arial" w:cs="Arial" w:eastAsia="Arial" w:hAnsi="Arial"/>
          <w:sz w:val="13"/>
          <w:szCs w:val="13"/>
          <w:color w:val="auto"/>
        </w:rPr>
        <w:t xml:space="preserve"> Dural Graft Matrix in 1999, the first onlay collagen graft for dural repair, we have become the market leader in sutureless closure of dural defects in the United States. Our dural repair products are alternatives to tissue being removed and grafted from another location in the patient’s body.</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Cerebral Spinal Fluid (“CSF”) Management Devices. </w:t>
      </w:r>
      <w:r>
        <w:rPr>
          <w:rFonts w:ascii="Arial" w:cs="Arial" w:eastAsia="Arial" w:hAnsi="Arial"/>
          <w:sz w:val="13"/>
          <w:szCs w:val="13"/>
          <w:color w:val="auto"/>
        </w:rPr>
        <w:t>CSF drainage is an important component of managing the intracranial pressure of the neurologically compromised patient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patient undergoing abdominal aortic aneurysm surgery. Over 250,000 procedures are performed annually in the United States using lumbar or ventricular drainage systems, including permanently implanted shunt systems and external ventricular drainage, representing an estimated $150 million market.</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Hydrocephalus is a condition in which the primary characteristic is excessive accumulation of CSF in the brain. It is most commonly treated by inserting a shunt catheter into the ventricular system of the brain. The shunt is designed to divert the flow of CSF out of the brain to an appropriate drainage site, such as the peritoneal cavity or the heart’s right atrium, and through a pressure control valve to maintain a normal level of CSF. Each year there are approximately 50,000 new shunt implants and revision cases to treat hydrocephalus. Integra currently offers a diverse line of hydrocephalus management products, including a wide variety of valves and ventricular, lumbar,</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peritoneal and cardiac catheters. In 2010, Integra introduced new valve systems for the treatment of hydrocephalus that are designed to treat hydrocephalus by regulating the drainage of cerebrospinal fluid (CSF) from the lumbar spine.</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b w:val="1"/>
          <w:bCs w:val="1"/>
          <w:i w:val="1"/>
          <w:iCs w:val="1"/>
          <w:color w:val="auto"/>
        </w:rPr>
        <w:t xml:space="preserve">Intracranial Monitoring Equipment. </w:t>
      </w:r>
      <w:r>
        <w:rPr>
          <w:rFonts w:ascii="Arial" w:cs="Arial" w:eastAsia="Arial" w:hAnsi="Arial"/>
          <w:sz w:val="13"/>
          <w:szCs w:val="13"/>
          <w:color w:val="auto"/>
        </w:rPr>
        <w:t>The NICU monitors a patient’s post-operative condition, following most neurosurgical procedures involving craniotomy. We offer the leading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products for monitoring intracranial pressure and brain tissue oxygenation and also offer equipment for the drainage of excess CSF.</w:t>
      </w:r>
    </w:p>
    <w:p>
      <w:pPr>
        <w:spacing w:after="0" w:line="5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Our monitoring systems are also used in the treatment of traumatic brain injury (“TBI”). TBI is a major public health problem and costs the United States an estimated $56 billion a year. More than five million Americans alive today have had a TBI, resulting in a permanent need for help in performing daily activities, and TBI survivors are often left with significant cognitive, behavioral, and communicative disabilities. Research has shown that not all brain damage occurs at the moment of impact, but frequently evolves over the ensuing hours and days after the initial injury. The secondary damage may be controlled, in part, by using our products to monitor and manage intracranial pressure and brain tissue oxygen.</w:t>
      </w:r>
    </w:p>
    <w:p>
      <w:pPr>
        <w:spacing w:after="0" w:line="51" w:lineRule="exact"/>
        <w:rPr>
          <w:sz w:val="20"/>
          <w:szCs w:val="20"/>
          <w:color w:val="auto"/>
        </w:rPr>
      </w:pPr>
    </w:p>
    <w:p>
      <w:pPr>
        <w:ind w:left="680" w:firstLine="399"/>
        <w:spacing w:after="0" w:line="298" w:lineRule="auto"/>
        <w:rPr>
          <w:sz w:val="20"/>
          <w:szCs w:val="20"/>
          <w:color w:val="auto"/>
        </w:rPr>
      </w:pPr>
      <w:r>
        <w:rPr>
          <w:rFonts w:ascii="Arial" w:cs="Arial" w:eastAsia="Arial" w:hAnsi="Arial"/>
          <w:sz w:val="12"/>
          <w:szCs w:val="12"/>
          <w:b w:val="1"/>
          <w:bCs w:val="1"/>
          <w:i w:val="1"/>
          <w:iCs w:val="1"/>
          <w:color w:val="auto"/>
        </w:rPr>
        <w:t xml:space="preserve">Cranial Stabilization Equipment. </w:t>
      </w:r>
      <w:r>
        <w:rPr>
          <w:rFonts w:ascii="Arial" w:cs="Arial" w:eastAsia="Arial" w:hAnsi="Arial"/>
          <w:sz w:val="12"/>
          <w:szCs w:val="12"/>
          <w:color w:val="auto"/>
        </w:rPr>
        <w:t>Most neurosurgery procedures require rigid fixation of the head. Our MAYFIELD</w:t>
      </w:r>
      <w:r>
        <w:rPr>
          <w:rFonts w:ascii="Arial" w:cs="Arial" w:eastAsia="Arial" w:hAnsi="Arial"/>
          <w:sz w:val="10"/>
          <w:szCs w:val="10"/>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line of cranial stabilization equipment rigidly fixes the head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 orientation determined by the surgeon. The device fixes the head via skull pins that are held in a frame that is anchored to the operating table and can be adjusted in multiple planes of movement to properly position the head for the surgical procedure. This system is used worldwide in over 400,000 brain procedures annually.</w:t>
      </w:r>
    </w:p>
    <w:p>
      <w:pPr>
        <w:spacing w:after="0" w:line="48"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Intraoperative real time imaging is being utilized more frequently in neurosurgical procedures and we market stabilization equipment that is made from a composite material that reduces the distortion in images compared to metal systems.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INSTRUMENTS PRODUCT PORTFOLIO</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are the largest surgical instrument company in the United States, providing more than 60,000 instrument patterns and surgical products to hospitals, surgery centers, and dental, podiatry, veterinary and physician offices. In addition to hand-held instruments, we sell surgical headlight systems and table-mounted retractors. Our instruments are sold and marketed via separate organizations to acute care and alternate site customers.</w:t>
      </w:r>
    </w:p>
    <w:p>
      <w:pPr>
        <w:spacing w:after="0" w:line="65" w:lineRule="exact"/>
        <w:rPr>
          <w:sz w:val="20"/>
          <w:szCs w:val="20"/>
          <w:color w:val="auto"/>
        </w:rPr>
      </w:pPr>
    </w:p>
    <w:p>
      <w:pPr>
        <w:ind w:left="680" w:right="160" w:firstLine="399"/>
        <w:spacing w:after="0" w:line="261" w:lineRule="auto"/>
        <w:rPr>
          <w:sz w:val="20"/>
          <w:szCs w:val="20"/>
          <w:color w:val="auto"/>
        </w:rPr>
      </w:pPr>
      <w:r>
        <w:rPr>
          <w:rFonts w:ascii="Arial" w:cs="Arial" w:eastAsia="Arial" w:hAnsi="Arial"/>
          <w:sz w:val="13"/>
          <w:szCs w:val="13"/>
          <w:color w:val="auto"/>
        </w:rPr>
        <w:t>The Jarit</w:t>
      </w:r>
      <w:r>
        <w:rPr>
          <w:rFonts w:ascii="Arial" w:cs="Arial" w:eastAsia="Arial" w:hAnsi="Arial"/>
          <w:sz w:val="11"/>
          <w:szCs w:val="11"/>
          <w:color w:val="auto"/>
        </w:rPr>
        <w:t>®</w:t>
      </w:r>
      <w:r>
        <w:rPr>
          <w:rFonts w:ascii="Arial" w:cs="Arial" w:eastAsia="Arial" w:hAnsi="Arial"/>
          <w:sz w:val="13"/>
          <w:szCs w:val="13"/>
          <w:color w:val="auto"/>
        </w:rPr>
        <w:t xml:space="preserve"> and Miltex</w:t>
      </w:r>
      <w:r>
        <w:rPr>
          <w:rFonts w:ascii="Arial" w:cs="Arial" w:eastAsia="Arial" w:hAnsi="Arial"/>
          <w:sz w:val="11"/>
          <w:szCs w:val="11"/>
          <w:color w:val="auto"/>
        </w:rPr>
        <w:t>®</w:t>
      </w:r>
      <w:r>
        <w:rPr>
          <w:rFonts w:ascii="Arial" w:cs="Arial" w:eastAsia="Arial" w:hAnsi="Arial"/>
          <w:sz w:val="13"/>
          <w:szCs w:val="13"/>
          <w:color w:val="auto"/>
        </w:rPr>
        <w:t xml:space="preserve"> brands of hand-held reusable surgical instrumentation encompass all of the clinical specialties within the acute care and alternate site clinical setting. Our markets include minimally invasive endoscopy surgery, general surgery, cardiovascular, neurosurgery, gynecological, orthopedic, ear, nose and throat, ophthalmology and all other venues that provide surgical care inside and outside the hospital setting. We are also a major player in animal health specialties, such as dentistry and orthopedics, as well as the emerging life sciences sector.</w:t>
      </w:r>
    </w:p>
    <w:p>
      <w:pPr>
        <w:spacing w:after="0" w:line="69"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Integra is a premium manufacturer of dental instruments related to hygiene, oral surgery, periodontal and endodontic instrumentation. We offer the dental market the largest array of choices in extraction forceps, market leadership in sterilization cassettes, and unique intra-oral lighting technologies. The Miltex</w:t>
      </w:r>
      <w:r>
        <w:rPr>
          <w:rFonts w:ascii="Arial" w:cs="Arial" w:eastAsia="Arial" w:hAnsi="Arial"/>
          <w:sz w:val="11"/>
          <w:szCs w:val="11"/>
          <w:color w:val="auto"/>
        </w:rPr>
        <w:t>®</w:t>
      </w:r>
      <w:r>
        <w:rPr>
          <w:rFonts w:ascii="Arial" w:cs="Arial" w:eastAsia="Arial" w:hAnsi="Arial"/>
          <w:sz w:val="13"/>
          <w:szCs w:val="13"/>
          <w:color w:val="auto"/>
        </w:rPr>
        <w:t xml:space="preserve"> brand has successfully incorporated Integra’s regenerative medicine materials into its oral surgery and periodontal offerings.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STRATEGY</w:t>
      </w:r>
    </w:p>
    <w:p>
      <w:pPr>
        <w:spacing w:after="0" w:line="100"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Our research and development activities focus on identifying unmet surgical needs and meeting those needs with innovative solutions and products. We apply our core competency in regenerative medicine to products for neurosurgical, orthopedic and spinal applications, and have extensive programs in neuro-monitoring and CSF management, cranial stabilization, tissue ablation, surgical instruments and spine, soft tissue, extremity small bone, and joint fixation. Our activities include the acquisition or in-licensing of new products.</w:t>
      </w:r>
    </w:p>
    <w:p>
      <w:pPr>
        <w:spacing w:after="0" w:line="50" w:lineRule="exact"/>
        <w:rPr>
          <w:sz w:val="20"/>
          <w:szCs w:val="20"/>
          <w:color w:val="auto"/>
        </w:rPr>
      </w:pPr>
    </w:p>
    <w:p>
      <w:pPr>
        <w:ind w:left="680" w:right="620" w:firstLine="399"/>
        <w:spacing w:after="0" w:line="320" w:lineRule="auto"/>
        <w:rPr>
          <w:sz w:val="20"/>
          <w:szCs w:val="20"/>
          <w:color w:val="auto"/>
        </w:rPr>
      </w:pPr>
      <w:r>
        <w:rPr>
          <w:rFonts w:ascii="Arial" w:cs="Arial" w:eastAsia="Arial" w:hAnsi="Arial"/>
          <w:sz w:val="12"/>
          <w:szCs w:val="12"/>
          <w:i w:val="1"/>
          <w:iCs w:val="1"/>
          <w:color w:val="auto"/>
        </w:rPr>
        <w:t xml:space="preserve">Regenerative Medicine. </w:t>
      </w:r>
      <w:r>
        <w:rPr>
          <w:rFonts w:ascii="Arial" w:cs="Arial" w:eastAsia="Arial" w:hAnsi="Arial"/>
          <w:sz w:val="12"/>
          <w:szCs w:val="12"/>
          <w:color w:val="auto"/>
        </w:rPr>
        <w:t>Because regenerative medicine implants represent a fast-growing, high-margin opportunity for us, we allocate a large portion of our research and</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budget to these products. Our regenerative medicine development program applies our expertise in biomaterials and collagen matrices to</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neurosurgical, orthopedic and spinal surgery applications, as well as dermal regeneration, tendon and nerve repair, and chronic and acute wounds.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Extremity Reconstruction. </w:t>
      </w:r>
      <w:r>
        <w:rPr>
          <w:rFonts w:ascii="Arial" w:cs="Arial" w:eastAsia="Arial" w:hAnsi="Arial"/>
          <w:sz w:val="12"/>
          <w:szCs w:val="12"/>
          <w:color w:val="auto"/>
        </w:rPr>
        <w:t>We develop fixation devices and other implants and instruments for upper and lower extremities. Our objective is to launch 3-5 important new products a</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year.</w:t>
      </w:r>
    </w:p>
    <w:p>
      <w:pPr>
        <w:spacing w:after="0" w:line="89"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i w:val="1"/>
          <w:iCs w:val="1"/>
          <w:color w:val="auto"/>
        </w:rPr>
        <w:t xml:space="preserve">Spine. </w:t>
      </w:r>
      <w:r>
        <w:rPr>
          <w:rFonts w:ascii="Arial" w:cs="Arial" w:eastAsia="Arial" w:hAnsi="Arial"/>
          <w:sz w:val="12"/>
          <w:szCs w:val="12"/>
          <w:color w:val="auto"/>
        </w:rPr>
        <w:t>Our expertise in implant engineering, biomaterials development and biomechanical testing provides a strong foundation for developing new products for the spine.</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Integra holds a number of spine patents that serve as a platform for future products, with particular emphasis in minimally invasive technologies. While we plan to continue filling the gaps in our portfolio so our current customers can use our products for more procedures, we are also developing novel technologies and new indications.</w:t>
      </w:r>
    </w:p>
    <w:p>
      <w:pPr>
        <w:spacing w:after="0" w:line="50" w:lineRule="exact"/>
        <w:rPr>
          <w:sz w:val="20"/>
          <w:szCs w:val="20"/>
          <w:color w:val="auto"/>
        </w:rPr>
      </w:pPr>
    </w:p>
    <w:p>
      <w:pPr>
        <w:jc w:val="both"/>
        <w:ind w:left="680" w:right="160" w:firstLine="399"/>
        <w:spacing w:after="0" w:line="296" w:lineRule="auto"/>
        <w:rPr>
          <w:sz w:val="20"/>
          <w:szCs w:val="20"/>
          <w:color w:val="auto"/>
        </w:rPr>
      </w:pPr>
      <w:r>
        <w:rPr>
          <w:rFonts w:ascii="Arial" w:cs="Arial" w:eastAsia="Arial" w:hAnsi="Arial"/>
          <w:sz w:val="12"/>
          <w:szCs w:val="12"/>
          <w:color w:val="auto"/>
        </w:rPr>
        <w:t>We have based our strong orthobiologic product development capability that on our bone matrix technology and our collagen technology, which is the basis of our osteoconductive collagen ceramic scaffold. We continue to develop line extensions based on these foundation technologies that further complete our offerings. In 2010, we created a complete portfolio of orthobiologic products specifically for our spine distribution network. We will continue to invest in the development of new novel technologies for bone grafting.</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Neurosurgery. </w:t>
      </w:r>
      <w:r>
        <w:rPr>
          <w:rFonts w:ascii="Arial" w:cs="Arial" w:eastAsia="Arial" w:hAnsi="Arial"/>
          <w:sz w:val="13"/>
          <w:szCs w:val="13"/>
          <w:color w:val="auto"/>
        </w:rPr>
        <w:t>Our research and product development efforts are focused on protecting and extending our leadership positions in dural repair, developing the next generation tissue</w:t>
      </w:r>
      <w:r>
        <w:rPr>
          <w:rFonts w:ascii="Arial" w:cs="Arial" w:eastAsia="Arial" w:hAnsi="Arial"/>
          <w:sz w:val="13"/>
          <w:szCs w:val="13"/>
          <w:i w:val="1"/>
          <w:iCs w:val="1"/>
          <w:color w:val="auto"/>
        </w:rPr>
        <w:t xml:space="preserve"> </w:t>
      </w:r>
      <w:r>
        <w:rPr>
          <w:rFonts w:ascii="Arial" w:cs="Arial" w:eastAsia="Arial" w:hAnsi="Arial"/>
          <w:sz w:val="13"/>
          <w:szCs w:val="13"/>
          <w:color w:val="auto"/>
        </w:rPr>
        <w:t>ablation system, a new critical care neuro monitoring system, and an advanced hydrocephalus shunt valve.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competition in extremity reconstruction includes Johnson &amp; Johnson, Synthes, Inc., Stryker Corporation, Tornier, Inc., Wright Medical Group, Inc. Zimmer, Inc., and Small Bone Innovations, Inc., as well as other major orthopedic companies that carry a full line of small bone and joint fixation and soft tissue products.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Competitors in the spine and orthobiologics markets include Medtronic, Inc., Johnson &amp; Johnson, Globus Medical Inc., NuVasive, Inc., Orthofix, Stryker Corporation, Synthes, Inc., Zimmer, Inc., and Alphatec Spine, Inc., and also include several smaller, biologic-focused companies, such as Orthovita.</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Our competitors in the neurosurgery markets are Johnson &amp; Johnson, Medtronic, Inc. and Stryker Corporation. In addition, many of our neurosurgery product lines compete with smaller specialized companies and larger companies that do not otherwise focus on neurosurgery.</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compete with the Aesculap division of B. Braun Medical Inc., as well as V. Mueller, a division of CareFusion in the United States. In addition, we compete with Johnson &amp; Johnson and many smaller instrument companies in the reusable and disposable specialty instruments markets. We rely on the depth and breadth of our sales and marketing organization and our procurement operation to maintain our competitive position in surgical instruments and allied surgical products.</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Finally, in certain cases our products compete primarily against medical practices that treat a condition without using a medical device or any particular product, such as medical practices that use autograft tissue instead of our dermal regeneration products, duraplasty products and nerve repair products. Depending on the product line, we compete on the basis of our products’ features, strength of our sales force or distributor, sophistication of our technology and cost effectiveness of our solution to the customer’s medical requirements.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believe that we are in substantial compliance with these governmental regulations.</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The regulatory process of obtaining product approvals and clearances can be onerous and costly. The FDA requires, as a condition to marketing a medical device in the United States, that we secure a Premarket Notification clearance pursuant to Section 510(k) of the Federal Food, Drug and Cosmetic Act (the “FFDCA”), an approved Premarket Approval application (or supplemental PMA application). Obtaining these approvals and clearances can take up to several years and involves preclinical studies and clinical testing. On January 19, 2011, the FDA announced its plan to implement changes to the 510(k) Premarket Notification process. The plan delineates many changes to the current process. The Institute of Medicine will have an opportunity to review the plan before these changes are made final. These changes to the 510(k) Premarket Notification process, when final, could result in more extensive testing, clinical trial requirements and other requirements. To perform clinical trials for significant risk devices in the United States on an unapproved product, we are required to obtain an Investigational Device Exemption (“IDE”) from the FDA. The FDA may also require a filing for FDA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require us to change the device, its manufacturing process or its labeling, to supply additional proof of its safety and effectiveness or to recall, repair, replace or refund the cost of the medical device. Because we currently export medical devices manufactured in the United States that have not been approved by the FDA for distribution in the United States, we are required to obtain approval/registration in the country we are exporting to and maintain certain records relating to exports and make these available to the FDA for inspection, if required.</w:t>
      </w:r>
    </w:p>
    <w:p>
      <w:pPr>
        <w:spacing w:after="0" w:line="50" w:lineRule="exact"/>
        <w:rPr>
          <w:sz w:val="20"/>
          <w:szCs w:val="20"/>
          <w:color w:val="auto"/>
        </w:rPr>
      </w:pPr>
    </w:p>
    <w:p>
      <w:pPr>
        <w:ind w:left="680" w:right="480" w:firstLine="399"/>
        <w:spacing w:after="0" w:line="264" w:lineRule="auto"/>
        <w:rPr>
          <w:sz w:val="20"/>
          <w:szCs w:val="20"/>
          <w:color w:val="auto"/>
        </w:rPr>
      </w:pPr>
      <w:r>
        <w:rPr>
          <w:rFonts w:ascii="Arial" w:cs="Arial" w:eastAsia="Arial" w:hAnsi="Arial"/>
          <w:sz w:val="13"/>
          <w:szCs w:val="13"/>
          <w:color w:val="auto"/>
        </w:rPr>
        <w:t>The FDA Medical Device User Fee and Modernization Act of 2002 and the FDA Amendments Act of 2007 established regulations governing user fees for certain regulatory submissions to the FDA. Currently user fees are required for 510(k) PMA’s, certain PMA supplements, PMA annual reports, FDA establishment registrations and other regulatory submissions.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Human Cells, Tissues and Cellular and Tissue-Based Products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Integra manufactures medical devices derived from human tissue (demineralized bone tissue).</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Some HCT/Ps also meet the definition of a biological product, medical device or drug regulated under the FFDCA. These biologic, device or drug HCT/Ps must comply both with the requirements exclusively applicable to HCT/Ps and, in addition, with requirements applicable to biologics, devices or drugs, including premarket clearance or approval from FDA.</w:t>
      </w:r>
    </w:p>
    <w:p>
      <w:pPr>
        <w:spacing w:after="0" w:line="35"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Section 361 of the Public Health Service Act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when processing, storing, labeling, and distributing HCT/Ps, including required labeling information, stringent record keeping, and adverse event reporting.</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Florida, New York and Maryland.</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National Organ Transplant Act. </w:t>
      </w:r>
      <w:r>
        <w:rPr>
          <w:rFonts w:ascii="Arial" w:cs="Arial" w:eastAsia="Arial" w:hAnsi="Arial"/>
          <w:sz w:val="13"/>
          <w:szCs w:val="13"/>
          <w:color w:val="auto"/>
        </w:rPr>
        <w:t>Procurement of certain human organs and tissue for transplantation is subject to the restrictions of the National Organ Transplant Act (“NOTA”),</w:t>
      </w:r>
      <w:r>
        <w:rPr>
          <w:rFonts w:ascii="Arial" w:cs="Arial" w:eastAsia="Arial" w:hAnsi="Arial"/>
          <w:sz w:val="13"/>
          <w:szCs w:val="13"/>
          <w:i w:val="1"/>
          <w:iCs w:val="1"/>
          <w:color w:val="auto"/>
        </w:rPr>
        <w:t xml:space="preserve"> </w:t>
      </w:r>
      <w:r>
        <w:rPr>
          <w:rFonts w:ascii="Arial" w:cs="Arial" w:eastAsia="Arial" w:hAnsi="Arial"/>
          <w:sz w:val="13"/>
          <w:szCs w:val="13"/>
          <w:color w:val="auto"/>
        </w:rPr>
        <w:t>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3"/>
          <w:szCs w:val="13"/>
          <w:color w:val="auto"/>
        </w:rPr>
        <w:t>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may recover in our pricing for our products, thereby reducing our future revenue and profitability.</w:t>
      </w:r>
    </w:p>
    <w:p>
      <w:pPr>
        <w:spacing w:after="0" w:line="67"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i w:val="1"/>
          <w:iCs w:val="1"/>
          <w:color w:val="auto"/>
        </w:rPr>
        <w:t xml:space="preserve">Postmarket Requirements. </w:t>
      </w:r>
      <w:r>
        <w:rPr>
          <w:rFonts w:ascii="Arial" w:cs="Arial" w:eastAsia="Arial" w:hAnsi="Arial"/>
          <w:sz w:val="13"/>
          <w:szCs w:val="13"/>
          <w:color w:val="auto"/>
        </w:rPr>
        <w:t>After a device is cleared or approved for commercial distribution, numerous regulatory requirements apply. These include the FDA Quality System</w:t>
      </w:r>
      <w:r>
        <w:rPr>
          <w:rFonts w:ascii="Arial" w:cs="Arial" w:eastAsia="Arial" w:hAnsi="Arial"/>
          <w:sz w:val="13"/>
          <w:szCs w:val="13"/>
          <w:i w:val="1"/>
          <w:iCs w:val="1"/>
          <w:color w:val="auto"/>
        </w:rPr>
        <w:t xml:space="preserve"> </w:t>
      </w:r>
      <w:r>
        <w:rPr>
          <w:rFonts w:ascii="Arial" w:cs="Arial" w:eastAsia="Arial" w:hAnsi="Arial"/>
          <w:sz w:val="13"/>
          <w:szCs w:val="13"/>
          <w:color w:val="auto"/>
        </w:rPr>
        <w:t>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FFDCA.</w:t>
      </w:r>
    </w:p>
    <w:p>
      <w:pPr>
        <w:spacing w:after="0" w:line="72"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are also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Department of Justice.</w:t>
      </w:r>
    </w:p>
    <w:p>
      <w:pPr>
        <w:spacing w:after="0" w:line="55"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Medical device regulations also are in effect in many of the countries outside the United States in which we do business. These laws range from comprehensive medical device approval and Quality System requirements for some or all of our medical device products to simpler requests for product data or certifications. The number and scope of these requirements are increasing. Under the European Union Medical Device Directive, medical devices must meet the Medical Device Directive standards and receive CE Mark Certification prior to marketing in the European Union (the “EU”). CE Mark Certification requires a comprehensive Quality System program, comprehensive technical documentation and data on the product, which are then reviewed by a Notified Body. A Notified Body is an organization designated by the national governments of the European Union member states to make independent judgments about whether a product complies with the protection requirements established by each CE marking directive. The Medical Device Directive, ISO 9000 series and ISO 13485 are recognized international quality standards that are designed to ensure that we develop and manufacture quality medical devices. The EU has revised the Medical Device Directive (93/42/EC as amended by 2007/47/EC) and these revised regulations became effective March 21, 2010. Compliance with these regulations requires extensive documentation and clinical reports for all of our products sold in the EU, as well as revisions to labeling and other requirements to comply with the revisions. A recognized Notified Body audits our facilities annually to verify our compliance with these standards. Australia, China, Japan and other countries have issued new regulations and requirements for obtaining approval of medical devices, including requirements governing the conduct of clinical trials, the manufacturing of products and the distribution of products for medical devices with which we must comply with in order to sell our products in those countries.</w:t>
      </w:r>
    </w:p>
    <w:p>
      <w:pPr>
        <w:spacing w:after="0" w:line="6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the EU, our products that contain human derived tissue, including those containing demineralized bone material, are not medical devices as defined in the Medical Device Directive (93/42/EC). They are also not medicinal products as defined in Directive 2001/83/EC. Today, regulations, if applicable, are different from one EU member state to the next. Due to the absence of a harmonized regulatory framework and the proposed regulation for advanced therapy medicinal products in the EU, the approval process for human-derived cell or tissue-based medical products may be extensive, lengthy, expensive, and unpredictable.</w:t>
      </w:r>
    </w:p>
    <w:p>
      <w:pPr>
        <w:spacing w:after="0" w:line="70" w:lineRule="exact"/>
        <w:rPr>
          <w:sz w:val="20"/>
          <w:szCs w:val="20"/>
          <w:color w:val="auto"/>
        </w:rPr>
      </w:pPr>
    </w:p>
    <w:p>
      <w:pPr>
        <w:ind w:left="680" w:right="560" w:firstLine="399"/>
        <w:spacing w:after="0" w:line="320" w:lineRule="auto"/>
        <w:rPr>
          <w:sz w:val="20"/>
          <w:szCs w:val="20"/>
          <w:color w:val="auto"/>
        </w:rPr>
      </w:pPr>
      <w:r>
        <w:rPr>
          <w:rFonts w:ascii="Arial" w:cs="Arial" w:eastAsia="Arial" w:hAnsi="Arial"/>
          <w:sz w:val="12"/>
          <w:szCs w:val="12"/>
          <w:color w:val="auto"/>
        </w:rPr>
        <w:t>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regulations affect our dermal regeneration products, duraplasty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or a ban of our products,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71"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We are subject to laws and regulations pertaining to healthcare fraud and abuse, including anti-kickback laws and physician self-referral laws that regulate the means by which companies in the health care industry may market their products to hospitals and health care professionals and may compete by discounting the prices of their products. The delivery of our products is subject to regulation regarding reimbursement, and federal healthcare laws apply when a customer submits a claim for a product that is reimbursed under a federally funded healthcare program. These rules require that we exercise care in structuring our sales and marketing practices and customer discount arrangements. See “Item 1A. Risk Factors — Oversight of the medical device industry might affect the manner in which we may sell medical devices and compete in the marketplace.”</w:t>
      </w:r>
    </w:p>
    <w:p>
      <w:pPr>
        <w:spacing w:after="0" w:line="55"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Our international operations subject us to laws regarding sanctioned countries, entities and persons, customs, import-export, laws regarding transactions in foreign countries and the U.S. Foreign Corrupt Practices Act and local laws regarding interactions with healthcare professionals. Among other things, these laws restrict, and in some cases prohibit, United States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7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Our research, development and manufacturing processes involve the controlled use of certain hazardous materials. We are subject to federal, state and local laws and regulations governing the use, manufacture, storage, handling and disposal of these materials and certain waste products. Although we believe that our safety procedures for handling and disposing of these materials comply with the standards prescribed by the controlling laws and regulations, the risk of accidental contamination or injury from these materials cannot be eliminated. In the event of this type of accident, we could be held liable for any damages that may result and any liability could exceed our resources. Although we believe that we are in compliance in all material respects with applicable environmental laws and regulations, we could incur significant costs to comply with environmental laws and regulations in the future, and our operations, business or assets could be materially adversely affected by current or future environmental laws or regulations.</w:t>
      </w:r>
    </w:p>
    <w:p>
      <w:pPr>
        <w:spacing w:after="0" w:line="59"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In addition to the above regulations, we are and may be subject to regulation under federal and state laws, including, but not limited to, requirements regarding occupational health and safety, laboratory practices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Third-Party Reimbursement. </w:t>
      </w:r>
      <w:r>
        <w:rPr>
          <w:rFonts w:ascii="Arial" w:cs="Arial" w:eastAsia="Arial" w:hAnsi="Arial"/>
          <w:sz w:val="12"/>
          <w:szCs w:val="12"/>
          <w:color w:val="auto"/>
        </w:rPr>
        <w:t>Healthcare providers that purchase medical devices generally rely on third-party payors, including the Medicare and Medicaid programs and private</w:t>
      </w:r>
      <w:r>
        <w:rPr>
          <w:rFonts w:ascii="Arial" w:cs="Arial" w:eastAsia="Arial" w:hAnsi="Arial"/>
          <w:sz w:val="12"/>
          <w:szCs w:val="12"/>
          <w:i w:val="1"/>
          <w:iCs w:val="1"/>
          <w:color w:val="auto"/>
        </w:rPr>
        <w:t xml:space="preserve"> </w:t>
      </w:r>
      <w:r>
        <w:rPr>
          <w:rFonts w:ascii="Arial" w:cs="Arial" w:eastAsia="Arial" w:hAnsi="Arial"/>
          <w:sz w:val="12"/>
          <w:szCs w:val="12"/>
          <w:color w:val="auto"/>
        </w:rPr>
        <w:t>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payer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as a result of these changes may affect our customers’ revenue and ability to purchase our products. Any changes in the healthcare regulatory, payment or enforcement landscape relative to our customers’ healthcare services has the potential to significantly affect our operations and revenue.</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0"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color w:val="auto"/>
        </w:rPr>
        <w:t>We seek patent and trademark protection for our key technology, products and product improvements, both in the United States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5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AccuDrain</w:t>
      </w:r>
      <w:r>
        <w:rPr>
          <w:rFonts w:ascii="Arial" w:cs="Arial" w:eastAsia="Arial" w:hAnsi="Arial"/>
          <w:sz w:val="11"/>
          <w:szCs w:val="11"/>
          <w:color w:val="auto"/>
        </w:rPr>
        <w:t>®</w:t>
      </w:r>
      <w:r>
        <w:rPr>
          <w:rFonts w:ascii="Arial" w:cs="Arial" w:eastAsia="Arial" w:hAnsi="Arial"/>
          <w:sz w:val="13"/>
          <w:szCs w:val="13"/>
          <w:color w:val="auto"/>
        </w:rPr>
        <w:t>, Accell</w:t>
      </w:r>
      <w:r>
        <w:rPr>
          <w:rFonts w:ascii="Arial" w:cs="Arial" w:eastAsia="Arial" w:hAnsi="Arial"/>
          <w:sz w:val="11"/>
          <w:szCs w:val="11"/>
          <w:color w:val="auto"/>
        </w:rPr>
        <w:t>®</w:t>
      </w:r>
      <w:r>
        <w:rPr>
          <w:rFonts w:ascii="Arial" w:cs="Arial" w:eastAsia="Arial" w:hAnsi="Arial"/>
          <w:sz w:val="13"/>
          <w:szCs w:val="13"/>
          <w:color w:val="auto"/>
        </w:rPr>
        <w:t>, Accell Evo3</w:t>
      </w:r>
      <w:r>
        <w:rPr>
          <w:rFonts w:ascii="Arial" w:cs="Arial" w:eastAsia="Arial" w:hAnsi="Arial"/>
          <w:sz w:val="11"/>
          <w:szCs w:val="11"/>
          <w:color w:val="auto"/>
        </w:rPr>
        <w:t>®</w:t>
      </w:r>
      <w:r>
        <w:rPr>
          <w:rFonts w:ascii="Arial" w:cs="Arial" w:eastAsia="Arial" w:hAnsi="Arial"/>
          <w:sz w:val="13"/>
          <w:szCs w:val="13"/>
          <w:color w:val="auto"/>
        </w:rPr>
        <w:t>, Advansys</w:t>
      </w:r>
      <w:r>
        <w:rPr>
          <w:rFonts w:ascii="Arial" w:cs="Arial" w:eastAsia="Arial" w:hAnsi="Arial"/>
          <w:sz w:val="11"/>
          <w:szCs w:val="11"/>
          <w:color w:val="auto"/>
        </w:rPr>
        <w:t>®</w:t>
      </w:r>
      <w:r>
        <w:rPr>
          <w:rFonts w:ascii="Arial" w:cs="Arial" w:eastAsia="Arial" w:hAnsi="Arial"/>
          <w:sz w:val="13"/>
          <w:szCs w:val="13"/>
          <w:color w:val="auto"/>
        </w:rPr>
        <w:t>, Atoll</w:t>
      </w:r>
      <w:r>
        <w:rPr>
          <w:rFonts w:ascii="Arial" w:cs="Arial" w:eastAsia="Arial" w:hAnsi="Arial"/>
          <w:sz w:val="7"/>
          <w:szCs w:val="7"/>
          <w:color w:val="auto"/>
        </w:rPr>
        <w:t>TM</w:t>
      </w:r>
      <w:r>
        <w:rPr>
          <w:rFonts w:ascii="Arial" w:cs="Arial" w:eastAsia="Arial" w:hAnsi="Arial"/>
          <w:sz w:val="13"/>
          <w:szCs w:val="13"/>
          <w:color w:val="auto"/>
        </w:rPr>
        <w:t>, Auragen</w:t>
      </w:r>
      <w:r>
        <w:rPr>
          <w:rFonts w:ascii="Arial" w:cs="Arial" w:eastAsia="Arial" w:hAnsi="Arial"/>
          <w:sz w:val="7"/>
          <w:szCs w:val="7"/>
          <w:color w:val="auto"/>
        </w:rPr>
        <w:t>TM</w:t>
      </w:r>
      <w:r>
        <w:rPr>
          <w:rFonts w:ascii="Arial" w:cs="Arial" w:eastAsia="Arial" w:hAnsi="Arial"/>
          <w:sz w:val="13"/>
          <w:szCs w:val="13"/>
          <w:color w:val="auto"/>
        </w:rPr>
        <w:t>, Bold</w:t>
      </w:r>
      <w:r>
        <w:rPr>
          <w:rFonts w:ascii="Arial" w:cs="Arial" w:eastAsia="Arial" w:hAnsi="Arial"/>
          <w:sz w:val="11"/>
          <w:szCs w:val="11"/>
          <w:color w:val="auto"/>
        </w:rPr>
        <w:t>®</w:t>
      </w:r>
      <w:r>
        <w:rPr>
          <w:rFonts w:ascii="Arial" w:cs="Arial" w:eastAsia="Arial" w:hAnsi="Arial"/>
          <w:sz w:val="13"/>
          <w:szCs w:val="13"/>
          <w:color w:val="auto"/>
        </w:rPr>
        <w:t>, Budde</w:t>
      </w:r>
      <w:r>
        <w:rPr>
          <w:rFonts w:ascii="Arial" w:cs="Arial" w:eastAsia="Arial" w:hAnsi="Arial"/>
          <w:sz w:val="11"/>
          <w:szCs w:val="11"/>
          <w:color w:val="auto"/>
        </w:rPr>
        <w:t>®</w:t>
      </w:r>
      <w:r>
        <w:rPr>
          <w:rFonts w:ascii="Arial" w:cs="Arial" w:eastAsia="Arial" w:hAnsi="Arial"/>
          <w:sz w:val="13"/>
          <w:szCs w:val="13"/>
          <w:color w:val="auto"/>
        </w:rPr>
        <w:t>, Buzz</w:t>
      </w:r>
      <w:r>
        <w:rPr>
          <w:rFonts w:ascii="Arial" w:cs="Arial" w:eastAsia="Arial" w:hAnsi="Arial"/>
          <w:sz w:val="7"/>
          <w:szCs w:val="7"/>
          <w:color w:val="auto"/>
        </w:rPr>
        <w:t>TM</w:t>
      </w:r>
      <w:r>
        <w:rPr>
          <w:rFonts w:ascii="Arial" w:cs="Arial" w:eastAsia="Arial" w:hAnsi="Arial"/>
          <w:sz w:val="13"/>
          <w:szCs w:val="13"/>
          <w:color w:val="auto"/>
        </w:rPr>
        <w:t>, Camino</w:t>
      </w:r>
      <w:r>
        <w:rPr>
          <w:rFonts w:ascii="Arial" w:cs="Arial" w:eastAsia="Arial" w:hAnsi="Arial"/>
          <w:sz w:val="11"/>
          <w:szCs w:val="11"/>
          <w:color w:val="auto"/>
        </w:rPr>
        <w:t>®</w:t>
      </w:r>
      <w:r>
        <w:rPr>
          <w:rFonts w:ascii="Arial" w:cs="Arial" w:eastAsia="Arial" w:hAnsi="Arial"/>
          <w:sz w:val="13"/>
          <w:szCs w:val="13"/>
          <w:color w:val="auto"/>
        </w:rPr>
        <w:t>, CRW</w:t>
      </w:r>
      <w:r>
        <w:rPr>
          <w:rFonts w:ascii="Arial" w:cs="Arial" w:eastAsia="Arial" w:hAnsi="Arial"/>
          <w:sz w:val="11"/>
          <w:szCs w:val="11"/>
          <w:color w:val="auto"/>
        </w:rPr>
        <w:t>®</w:t>
      </w:r>
      <w:r>
        <w:rPr>
          <w:rFonts w:ascii="Arial" w:cs="Arial" w:eastAsia="Arial" w:hAnsi="Arial"/>
          <w:sz w:val="13"/>
          <w:szCs w:val="13"/>
          <w:color w:val="auto"/>
        </w:rPr>
        <w:t>, Coral</w:t>
      </w:r>
      <w:r>
        <w:rPr>
          <w:rFonts w:ascii="Arial" w:cs="Arial" w:eastAsia="Arial" w:hAnsi="Arial"/>
          <w:sz w:val="7"/>
          <w:szCs w:val="7"/>
          <w:color w:val="auto"/>
        </w:rPr>
        <w:t>TM</w:t>
      </w:r>
      <w:r>
        <w:rPr>
          <w:rFonts w:ascii="Arial" w:cs="Arial" w:eastAsia="Arial" w:hAnsi="Arial"/>
          <w:sz w:val="13"/>
          <w:szCs w:val="13"/>
          <w:color w:val="auto"/>
        </w:rPr>
        <w:t>, CUSA</w:t>
      </w:r>
      <w:r>
        <w:rPr>
          <w:rFonts w:ascii="Arial" w:cs="Arial" w:eastAsia="Arial" w:hAnsi="Arial"/>
          <w:sz w:val="11"/>
          <w:szCs w:val="11"/>
          <w:color w:val="auto"/>
        </w:rPr>
        <w:t>®</w:t>
      </w:r>
      <w:r>
        <w:rPr>
          <w:rFonts w:ascii="Arial" w:cs="Arial" w:eastAsia="Arial" w:hAnsi="Arial"/>
          <w:sz w:val="13"/>
          <w:szCs w:val="13"/>
          <w:color w:val="auto"/>
        </w:rPr>
        <w:t>, CUSA Excel</w:t>
      </w:r>
      <w:r>
        <w:rPr>
          <w:rFonts w:ascii="Arial" w:cs="Arial" w:eastAsia="Arial" w:hAnsi="Arial"/>
          <w:sz w:val="11"/>
          <w:szCs w:val="11"/>
          <w:color w:val="auto"/>
        </w:rPr>
        <w:t>®</w:t>
      </w:r>
      <w:r>
        <w:rPr>
          <w:rFonts w:ascii="Arial" w:cs="Arial" w:eastAsia="Arial" w:hAnsi="Arial"/>
          <w:sz w:val="13"/>
          <w:szCs w:val="13"/>
          <w:color w:val="auto"/>
        </w:rPr>
        <w:t>, DenLite</w:t>
      </w:r>
      <w:r>
        <w:rPr>
          <w:rFonts w:ascii="Arial" w:cs="Arial" w:eastAsia="Arial" w:hAnsi="Arial"/>
          <w:sz w:val="11"/>
          <w:szCs w:val="11"/>
          <w:color w:val="auto"/>
        </w:rPr>
        <w:t>®</w:t>
      </w:r>
      <w:r>
        <w:rPr>
          <w:rFonts w:ascii="Arial" w:cs="Arial" w:eastAsia="Arial" w:hAnsi="Arial"/>
          <w:sz w:val="13"/>
          <w:szCs w:val="13"/>
          <w:color w:val="auto"/>
        </w:rPr>
        <w:t>, Dissectron</w:t>
      </w:r>
      <w:r>
        <w:rPr>
          <w:rFonts w:ascii="Arial" w:cs="Arial" w:eastAsia="Arial" w:hAnsi="Arial"/>
          <w:sz w:val="7"/>
          <w:szCs w:val="7"/>
          <w:color w:val="auto"/>
        </w:rPr>
        <w:t>TM</w:t>
      </w:r>
      <w:r>
        <w:rPr>
          <w:rFonts w:ascii="Arial" w:cs="Arial" w:eastAsia="Arial" w:hAnsi="Arial"/>
          <w:sz w:val="13"/>
          <w:szCs w:val="13"/>
          <w:color w:val="auto"/>
        </w:rPr>
        <w:t>, DuraGen</w:t>
      </w:r>
      <w:r>
        <w:rPr>
          <w:rFonts w:ascii="Arial" w:cs="Arial" w:eastAsia="Arial" w:hAnsi="Arial"/>
          <w:sz w:val="11"/>
          <w:szCs w:val="11"/>
          <w:color w:val="auto"/>
        </w:rPr>
        <w:t>®</w:t>
      </w:r>
      <w:r>
        <w:rPr>
          <w:rFonts w:ascii="Arial" w:cs="Arial" w:eastAsia="Arial" w:hAnsi="Arial"/>
          <w:sz w:val="13"/>
          <w:szCs w:val="13"/>
          <w:color w:val="auto"/>
        </w:rPr>
        <w:t>, DuraGen Plus</w:t>
      </w:r>
      <w:r>
        <w:rPr>
          <w:rFonts w:ascii="Arial" w:cs="Arial" w:eastAsia="Arial" w:hAnsi="Arial"/>
          <w:sz w:val="11"/>
          <w:szCs w:val="11"/>
          <w:color w:val="auto"/>
        </w:rPr>
        <w:t>®</w:t>
      </w:r>
      <w:r>
        <w:rPr>
          <w:rFonts w:ascii="Arial" w:cs="Arial" w:eastAsia="Arial" w:hAnsi="Arial"/>
          <w:sz w:val="13"/>
          <w:szCs w:val="13"/>
          <w:color w:val="auto"/>
        </w:rPr>
        <w:t>, DynaGraft</w:t>
      </w:r>
      <w:r>
        <w:rPr>
          <w:rFonts w:ascii="Arial" w:cs="Arial" w:eastAsia="Arial" w:hAnsi="Arial"/>
          <w:sz w:val="11"/>
          <w:szCs w:val="11"/>
          <w:color w:val="auto"/>
        </w:rPr>
        <w:t>®</w:t>
      </w:r>
      <w:r>
        <w:rPr>
          <w:rFonts w:ascii="Arial" w:cs="Arial" w:eastAsia="Arial" w:hAnsi="Arial"/>
          <w:sz w:val="13"/>
          <w:szCs w:val="13"/>
          <w:color w:val="auto"/>
        </w:rPr>
        <w:t>II, Hallu</w:t>
      </w:r>
      <w:r>
        <w:rPr>
          <w:rFonts w:ascii="Arial" w:cs="Arial" w:eastAsia="Arial" w:hAnsi="Arial"/>
          <w:sz w:val="11"/>
          <w:szCs w:val="11"/>
          <w:color w:val="auto"/>
        </w:rPr>
        <w:t>®</w:t>
      </w:r>
      <w:r>
        <w:rPr>
          <w:rFonts w:ascii="Arial" w:cs="Arial" w:eastAsia="Arial" w:hAnsi="Arial"/>
          <w:sz w:val="13"/>
          <w:szCs w:val="13"/>
          <w:color w:val="auto"/>
        </w:rPr>
        <w:t>, HeliCote</w:t>
      </w:r>
      <w:r>
        <w:rPr>
          <w:rFonts w:ascii="Arial" w:cs="Arial" w:eastAsia="Arial" w:hAnsi="Arial"/>
          <w:sz w:val="11"/>
          <w:szCs w:val="11"/>
          <w:color w:val="auto"/>
        </w:rPr>
        <w:t>®</w:t>
      </w:r>
      <w:r>
        <w:rPr>
          <w:rFonts w:ascii="Arial" w:cs="Arial" w:eastAsia="Arial" w:hAnsi="Arial"/>
          <w:sz w:val="13"/>
          <w:szCs w:val="13"/>
          <w:color w:val="auto"/>
        </w:rPr>
        <w:t>, HeliPlug</w:t>
      </w:r>
      <w:r>
        <w:rPr>
          <w:rFonts w:ascii="Arial" w:cs="Arial" w:eastAsia="Arial" w:hAnsi="Arial"/>
          <w:sz w:val="11"/>
          <w:szCs w:val="11"/>
          <w:color w:val="auto"/>
        </w:rPr>
        <w:t>®</w:t>
      </w:r>
      <w:r>
        <w:rPr>
          <w:rFonts w:ascii="Arial" w:cs="Arial" w:eastAsia="Arial" w:hAnsi="Arial"/>
          <w:sz w:val="13"/>
          <w:szCs w:val="13"/>
          <w:color w:val="auto"/>
        </w:rPr>
        <w:t>, HeliTape</w:t>
      </w:r>
      <w:r>
        <w:rPr>
          <w:rFonts w:ascii="Arial" w:cs="Arial" w:eastAsia="Arial" w:hAnsi="Arial"/>
          <w:sz w:val="11"/>
          <w:szCs w:val="11"/>
          <w:color w:val="auto"/>
        </w:rPr>
        <w:t>®</w:t>
      </w:r>
      <w:r>
        <w:rPr>
          <w:rFonts w:ascii="Arial" w:cs="Arial" w:eastAsia="Arial" w:hAnsi="Arial"/>
          <w:sz w:val="13"/>
          <w:szCs w:val="13"/>
          <w:color w:val="auto"/>
        </w:rPr>
        <w:t>, HeliMEND</w:t>
      </w:r>
      <w:r>
        <w:rPr>
          <w:rFonts w:ascii="Arial" w:cs="Arial" w:eastAsia="Arial" w:hAnsi="Arial"/>
          <w:sz w:val="11"/>
          <w:szCs w:val="11"/>
          <w:color w:val="auto"/>
        </w:rPr>
        <w:t>®</w:t>
      </w:r>
      <w:r>
        <w:rPr>
          <w:rFonts w:ascii="Arial" w:cs="Arial" w:eastAsia="Arial" w:hAnsi="Arial"/>
          <w:sz w:val="13"/>
          <w:szCs w:val="13"/>
          <w:color w:val="auto"/>
        </w:rPr>
        <w:t>, HINTEGRA</w:t>
      </w:r>
      <w:r>
        <w:rPr>
          <w:rFonts w:ascii="Arial" w:cs="Arial" w:eastAsia="Arial" w:hAnsi="Arial"/>
          <w:sz w:val="11"/>
          <w:szCs w:val="11"/>
          <w:color w:val="auto"/>
        </w:rPr>
        <w:t>®</w:t>
      </w:r>
      <w:r>
        <w:rPr>
          <w:rFonts w:ascii="Arial" w:cs="Arial" w:eastAsia="Arial" w:hAnsi="Arial"/>
          <w:sz w:val="13"/>
          <w:szCs w:val="13"/>
          <w:color w:val="auto"/>
        </w:rPr>
        <w:t>, ICOS</w:t>
      </w:r>
      <w:r>
        <w:rPr>
          <w:rFonts w:ascii="Arial" w:cs="Arial" w:eastAsia="Arial" w:hAnsi="Arial"/>
          <w:sz w:val="7"/>
          <w:szCs w:val="7"/>
          <w:color w:val="auto"/>
        </w:rPr>
        <w:t>TM</w:t>
      </w:r>
      <w:r>
        <w:rPr>
          <w:rFonts w:ascii="Arial" w:cs="Arial" w:eastAsia="Arial" w:hAnsi="Arial"/>
          <w:sz w:val="13"/>
          <w:szCs w:val="13"/>
          <w:color w:val="auto"/>
        </w:rPr>
        <w:t>, Inforce</w:t>
      </w:r>
      <w:r>
        <w:rPr>
          <w:rFonts w:ascii="Arial" w:cs="Arial" w:eastAsia="Arial" w:hAnsi="Arial"/>
          <w:sz w:val="11"/>
          <w:szCs w:val="11"/>
          <w:color w:val="auto"/>
        </w:rPr>
        <w:t>®</w:t>
      </w:r>
      <w:r>
        <w:rPr>
          <w:rFonts w:ascii="Arial" w:cs="Arial" w:eastAsia="Arial" w:hAnsi="Arial"/>
          <w:sz w:val="13"/>
          <w:szCs w:val="13"/>
          <w:color w:val="auto"/>
        </w:rPr>
        <w:t>, Integra</w:t>
      </w:r>
      <w:r>
        <w:rPr>
          <w:rFonts w:ascii="Arial" w:cs="Arial" w:eastAsia="Arial" w:hAnsi="Arial"/>
          <w:sz w:val="11"/>
          <w:szCs w:val="11"/>
          <w:color w:val="auto"/>
        </w:rPr>
        <w:t>®</w:t>
      </w:r>
      <w:r>
        <w:rPr>
          <w:rFonts w:ascii="Arial" w:cs="Arial" w:eastAsia="Arial" w:hAnsi="Arial"/>
          <w:sz w:val="13"/>
          <w:szCs w:val="13"/>
          <w:color w:val="auto"/>
        </w:rPr>
        <w:t>, Integra Mozaik</w:t>
      </w:r>
      <w:r>
        <w:rPr>
          <w:rFonts w:ascii="Arial" w:cs="Arial" w:eastAsia="Arial" w:hAnsi="Arial"/>
          <w:sz w:val="7"/>
          <w:szCs w:val="7"/>
          <w:color w:val="auto"/>
        </w:rPr>
        <w:t>TM</w:t>
      </w:r>
      <w:r>
        <w:rPr>
          <w:rFonts w:ascii="Arial" w:cs="Arial" w:eastAsia="Arial" w:hAnsi="Arial"/>
          <w:sz w:val="13"/>
          <w:szCs w:val="13"/>
          <w:color w:val="auto"/>
        </w:rPr>
        <w:t>, Integra OS</w:t>
      </w:r>
      <w:r>
        <w:rPr>
          <w:rFonts w:ascii="Arial" w:cs="Arial" w:eastAsia="Arial" w:hAnsi="Arial"/>
          <w:sz w:val="11"/>
          <w:szCs w:val="11"/>
          <w:color w:val="auto"/>
        </w:rPr>
        <w:t>®</w:t>
      </w:r>
      <w:r>
        <w:rPr>
          <w:rFonts w:ascii="Arial" w:cs="Arial" w:eastAsia="Arial" w:hAnsi="Arial"/>
          <w:sz w:val="13"/>
          <w:szCs w:val="13"/>
          <w:color w:val="auto"/>
        </w:rPr>
        <w:t>, Jarit</w:t>
      </w:r>
      <w:r>
        <w:rPr>
          <w:rFonts w:ascii="Arial" w:cs="Arial" w:eastAsia="Arial" w:hAnsi="Arial"/>
          <w:sz w:val="11"/>
          <w:szCs w:val="11"/>
          <w:color w:val="auto"/>
        </w:rPr>
        <w:t>®</w:t>
      </w:r>
      <w:r>
        <w:rPr>
          <w:rFonts w:ascii="Arial" w:cs="Arial" w:eastAsia="Arial" w:hAnsi="Arial"/>
          <w:sz w:val="13"/>
          <w:szCs w:val="13"/>
          <w:color w:val="auto"/>
        </w:rPr>
        <w:t>, LICOX</w:t>
      </w:r>
      <w:r>
        <w:rPr>
          <w:rFonts w:ascii="Arial" w:cs="Arial" w:eastAsia="Arial" w:hAnsi="Arial"/>
          <w:sz w:val="11"/>
          <w:szCs w:val="11"/>
          <w:color w:val="auto"/>
        </w:rPr>
        <w:t>®</w:t>
      </w:r>
      <w:r>
        <w:rPr>
          <w:rFonts w:ascii="Arial" w:cs="Arial" w:eastAsia="Arial" w:hAnsi="Arial"/>
          <w:sz w:val="13"/>
          <w:szCs w:val="13"/>
          <w:color w:val="auto"/>
        </w:rPr>
        <w:t>, LimiTorr</w:t>
      </w:r>
      <w:r>
        <w:rPr>
          <w:rFonts w:ascii="Arial" w:cs="Arial" w:eastAsia="Arial" w:hAnsi="Arial"/>
          <w:sz w:val="7"/>
          <w:szCs w:val="7"/>
          <w:color w:val="auto"/>
        </w:rPr>
        <w:t>TM</w:t>
      </w:r>
      <w:r>
        <w:rPr>
          <w:rFonts w:ascii="Arial" w:cs="Arial" w:eastAsia="Arial" w:hAnsi="Arial"/>
          <w:sz w:val="13"/>
          <w:szCs w:val="13"/>
          <w:color w:val="auto"/>
        </w:rPr>
        <w:t>, Luxtec</w:t>
      </w:r>
      <w:r>
        <w:rPr>
          <w:rFonts w:ascii="Arial" w:cs="Arial" w:eastAsia="Arial" w:hAnsi="Arial"/>
          <w:sz w:val="11"/>
          <w:szCs w:val="11"/>
          <w:color w:val="auto"/>
        </w:rPr>
        <w:t>®</w:t>
      </w:r>
      <w:r>
        <w:rPr>
          <w:rFonts w:ascii="Arial" w:cs="Arial" w:eastAsia="Arial" w:hAnsi="Arial"/>
          <w:sz w:val="13"/>
          <w:szCs w:val="13"/>
          <w:color w:val="auto"/>
        </w:rPr>
        <w:t>, Manta Ray</w:t>
      </w:r>
      <w:r>
        <w:rPr>
          <w:rFonts w:ascii="Arial" w:cs="Arial" w:eastAsia="Arial" w:hAnsi="Arial"/>
          <w:sz w:val="7"/>
          <w:szCs w:val="7"/>
          <w:color w:val="auto"/>
        </w:rPr>
        <w:t>TM</w:t>
      </w:r>
      <w:r>
        <w:rPr>
          <w:rFonts w:ascii="Arial" w:cs="Arial" w:eastAsia="Arial" w:hAnsi="Arial"/>
          <w:sz w:val="13"/>
          <w:szCs w:val="13"/>
          <w:color w:val="auto"/>
        </w:rPr>
        <w:t>, Miltex</w:t>
      </w:r>
      <w:r>
        <w:rPr>
          <w:rFonts w:ascii="Arial" w:cs="Arial" w:eastAsia="Arial" w:hAnsi="Arial"/>
          <w:sz w:val="11"/>
          <w:szCs w:val="11"/>
          <w:color w:val="auto"/>
        </w:rPr>
        <w:t>®</w:t>
      </w:r>
      <w:r>
        <w:rPr>
          <w:rFonts w:ascii="Arial" w:cs="Arial" w:eastAsia="Arial" w:hAnsi="Arial"/>
          <w:sz w:val="13"/>
          <w:szCs w:val="13"/>
          <w:color w:val="auto"/>
        </w:rPr>
        <w:t>, NeuraGen</w:t>
      </w:r>
      <w:r>
        <w:rPr>
          <w:rFonts w:ascii="Arial" w:cs="Arial" w:eastAsia="Arial" w:hAnsi="Arial"/>
          <w:sz w:val="11"/>
          <w:szCs w:val="11"/>
          <w:color w:val="auto"/>
        </w:rPr>
        <w:t>®</w:t>
      </w:r>
      <w:r>
        <w:rPr>
          <w:rFonts w:ascii="Arial" w:cs="Arial" w:eastAsia="Arial" w:hAnsi="Arial"/>
          <w:sz w:val="13"/>
          <w:szCs w:val="13"/>
          <w:color w:val="auto"/>
        </w:rPr>
        <w:t>, NeuraWrap</w:t>
      </w:r>
      <w:r>
        <w:rPr>
          <w:rFonts w:ascii="Arial" w:cs="Arial" w:eastAsia="Arial" w:hAnsi="Arial"/>
          <w:sz w:val="7"/>
          <w:szCs w:val="7"/>
          <w:color w:val="auto"/>
        </w:rPr>
        <w:t>TM</w:t>
      </w:r>
      <w:r>
        <w:rPr>
          <w:rFonts w:ascii="Arial" w:cs="Arial" w:eastAsia="Arial" w:hAnsi="Arial"/>
          <w:sz w:val="13"/>
          <w:szCs w:val="13"/>
          <w:color w:val="auto"/>
        </w:rPr>
        <w:t>, Newdeal</w:t>
      </w:r>
      <w:r>
        <w:rPr>
          <w:rFonts w:ascii="Arial" w:cs="Arial" w:eastAsia="Arial" w:hAnsi="Arial"/>
          <w:sz w:val="11"/>
          <w:szCs w:val="11"/>
          <w:color w:val="auto"/>
        </w:rPr>
        <w:t>®</w:t>
      </w:r>
      <w:r>
        <w:rPr>
          <w:rFonts w:ascii="Arial" w:cs="Arial" w:eastAsia="Arial" w:hAnsi="Arial"/>
          <w:sz w:val="13"/>
          <w:szCs w:val="13"/>
          <w:color w:val="auto"/>
        </w:rPr>
        <w:t>, Omni-Tract</w:t>
      </w:r>
      <w:r>
        <w:rPr>
          <w:rFonts w:ascii="Arial" w:cs="Arial" w:eastAsia="Arial" w:hAnsi="Arial"/>
          <w:sz w:val="11"/>
          <w:szCs w:val="11"/>
          <w:color w:val="auto"/>
        </w:rPr>
        <w:t>®</w:t>
      </w:r>
      <w:r>
        <w:rPr>
          <w:rFonts w:ascii="Arial" w:cs="Arial" w:eastAsia="Arial" w:hAnsi="Arial"/>
          <w:sz w:val="13"/>
          <w:szCs w:val="13"/>
          <w:color w:val="auto"/>
        </w:rPr>
        <w:t>, OrthoBlast</w:t>
      </w:r>
      <w:r>
        <w:rPr>
          <w:rFonts w:ascii="Arial" w:cs="Arial" w:eastAsia="Arial" w:hAnsi="Arial"/>
          <w:sz w:val="11"/>
          <w:szCs w:val="11"/>
          <w:color w:val="auto"/>
        </w:rPr>
        <w:t>®</w:t>
      </w:r>
      <w:r>
        <w:rPr>
          <w:rFonts w:ascii="Arial" w:cs="Arial" w:eastAsia="Arial" w:hAnsi="Arial"/>
          <w:sz w:val="13"/>
          <w:szCs w:val="13"/>
          <w:color w:val="auto"/>
        </w:rPr>
        <w:t>II, OSV II</w:t>
      </w:r>
      <w:r>
        <w:rPr>
          <w:rFonts w:ascii="Arial" w:cs="Arial" w:eastAsia="Arial" w:hAnsi="Arial"/>
          <w:sz w:val="11"/>
          <w:szCs w:val="11"/>
          <w:color w:val="auto"/>
        </w:rPr>
        <w:t>®</w:t>
      </w:r>
      <w:r>
        <w:rPr>
          <w:rFonts w:ascii="Arial" w:cs="Arial" w:eastAsia="Arial" w:hAnsi="Arial"/>
          <w:sz w:val="13"/>
          <w:szCs w:val="13"/>
          <w:color w:val="auto"/>
        </w:rPr>
        <w:t>, Qwix</w:t>
      </w:r>
      <w:r>
        <w:rPr>
          <w:rFonts w:ascii="Arial" w:cs="Arial" w:eastAsia="Arial" w:hAnsi="Arial"/>
          <w:sz w:val="11"/>
          <w:szCs w:val="11"/>
          <w:color w:val="auto"/>
        </w:rPr>
        <w:t>®</w:t>
      </w:r>
      <w:r>
        <w:rPr>
          <w:rFonts w:ascii="Arial" w:cs="Arial" w:eastAsia="Arial" w:hAnsi="Arial"/>
          <w:sz w:val="13"/>
          <w:szCs w:val="13"/>
          <w:color w:val="auto"/>
        </w:rPr>
        <w:t>, Padgett</w:t>
      </w:r>
      <w:r>
        <w:rPr>
          <w:rFonts w:ascii="Arial" w:cs="Arial" w:eastAsia="Arial" w:hAnsi="Arial"/>
          <w:sz w:val="11"/>
          <w:szCs w:val="11"/>
          <w:color w:val="auto"/>
        </w:rPr>
        <w:t>®</w:t>
      </w:r>
      <w:r>
        <w:rPr>
          <w:rFonts w:ascii="Arial" w:cs="Arial" w:eastAsia="Arial" w:hAnsi="Arial"/>
          <w:sz w:val="13"/>
          <w:szCs w:val="13"/>
          <w:color w:val="auto"/>
        </w:rPr>
        <w:t>, Panta</w:t>
      </w:r>
      <w:r>
        <w:rPr>
          <w:rFonts w:ascii="Arial" w:cs="Arial" w:eastAsia="Arial" w:hAnsi="Arial"/>
          <w:sz w:val="11"/>
          <w:szCs w:val="11"/>
          <w:color w:val="auto"/>
        </w:rPr>
        <w:t>®</w:t>
      </w:r>
      <w:r>
        <w:rPr>
          <w:rFonts w:ascii="Arial" w:cs="Arial" w:eastAsia="Arial" w:hAnsi="Arial"/>
          <w:sz w:val="13"/>
          <w:szCs w:val="13"/>
          <w:color w:val="auto"/>
        </w:rPr>
        <w:t>, Paramount</w:t>
      </w:r>
      <w:r>
        <w:rPr>
          <w:rFonts w:ascii="Arial" w:cs="Arial" w:eastAsia="Arial" w:hAnsi="Arial"/>
          <w:sz w:val="11"/>
          <w:szCs w:val="11"/>
          <w:color w:val="auto"/>
        </w:rPr>
        <w:t>®</w:t>
      </w:r>
      <w:r>
        <w:rPr>
          <w:rFonts w:ascii="Arial" w:cs="Arial" w:eastAsia="Arial" w:hAnsi="Arial"/>
          <w:sz w:val="13"/>
          <w:szCs w:val="13"/>
          <w:color w:val="auto"/>
        </w:rPr>
        <w:t>, Radionics</w:t>
      </w:r>
      <w:r>
        <w:rPr>
          <w:rFonts w:ascii="Arial" w:cs="Arial" w:eastAsia="Arial" w:hAnsi="Arial"/>
          <w:sz w:val="11"/>
          <w:szCs w:val="11"/>
          <w:color w:val="auto"/>
        </w:rPr>
        <w:t>®</w:t>
      </w:r>
      <w:r>
        <w:rPr>
          <w:rFonts w:ascii="Arial" w:cs="Arial" w:eastAsia="Arial" w:hAnsi="Arial"/>
          <w:sz w:val="13"/>
          <w:szCs w:val="13"/>
          <w:color w:val="auto"/>
        </w:rPr>
        <w:t>, Redmond</w:t>
      </w:r>
      <w:r>
        <w:rPr>
          <w:rFonts w:ascii="Arial" w:cs="Arial" w:eastAsia="Arial" w:hAnsi="Arial"/>
          <w:sz w:val="7"/>
          <w:szCs w:val="7"/>
          <w:color w:val="auto"/>
        </w:rPr>
        <w:t>TM</w:t>
      </w:r>
      <w:r>
        <w:rPr>
          <w:rFonts w:ascii="Arial" w:cs="Arial" w:eastAsia="Arial" w:hAnsi="Arial"/>
          <w:sz w:val="13"/>
          <w:szCs w:val="13"/>
          <w:color w:val="auto"/>
        </w:rPr>
        <w:t>, Ruggles</w:t>
      </w:r>
      <w:r>
        <w:rPr>
          <w:rFonts w:ascii="Arial" w:cs="Arial" w:eastAsia="Arial" w:hAnsi="Arial"/>
          <w:sz w:val="7"/>
          <w:szCs w:val="7"/>
          <w:color w:val="auto"/>
        </w:rPr>
        <w:t>TM</w:t>
      </w:r>
      <w:r>
        <w:rPr>
          <w:rFonts w:ascii="Arial" w:cs="Arial" w:eastAsia="Arial" w:hAnsi="Arial"/>
          <w:sz w:val="13"/>
          <w:szCs w:val="13"/>
          <w:color w:val="auto"/>
        </w:rPr>
        <w:t>, SafeGuard</w:t>
      </w:r>
      <w:r>
        <w:rPr>
          <w:rFonts w:ascii="Arial" w:cs="Arial" w:eastAsia="Arial" w:hAnsi="Arial"/>
          <w:sz w:val="11"/>
          <w:szCs w:val="11"/>
          <w:color w:val="auto"/>
        </w:rPr>
        <w:t>®</w:t>
      </w:r>
      <w:r>
        <w:rPr>
          <w:rFonts w:ascii="Arial" w:cs="Arial" w:eastAsia="Arial" w:hAnsi="Arial"/>
          <w:sz w:val="13"/>
          <w:szCs w:val="13"/>
          <w:color w:val="auto"/>
        </w:rPr>
        <w:t>, Selector</w:t>
      </w:r>
      <w:r>
        <w:rPr>
          <w:rFonts w:ascii="Arial" w:cs="Arial" w:eastAsia="Arial" w:hAnsi="Arial"/>
          <w:sz w:val="11"/>
          <w:szCs w:val="11"/>
          <w:color w:val="auto"/>
        </w:rPr>
        <w:t>®</w:t>
      </w:r>
      <w:r>
        <w:rPr>
          <w:rFonts w:ascii="Arial" w:cs="Arial" w:eastAsia="Arial" w:hAnsi="Arial"/>
          <w:sz w:val="13"/>
          <w:szCs w:val="13"/>
          <w:color w:val="auto"/>
        </w:rPr>
        <w:t>, Subtalar MBA</w:t>
      </w:r>
      <w:r>
        <w:rPr>
          <w:rFonts w:ascii="Arial" w:cs="Arial" w:eastAsia="Arial" w:hAnsi="Arial"/>
          <w:sz w:val="11"/>
          <w:szCs w:val="11"/>
          <w:color w:val="auto"/>
        </w:rPr>
        <w:t>®</w:t>
      </w:r>
      <w:r>
        <w:rPr>
          <w:rFonts w:ascii="Arial" w:cs="Arial" w:eastAsia="Arial" w:hAnsi="Arial"/>
          <w:sz w:val="13"/>
          <w:szCs w:val="13"/>
          <w:color w:val="auto"/>
        </w:rPr>
        <w:t>, TenoGlide</w:t>
      </w:r>
      <w:r>
        <w:rPr>
          <w:rFonts w:ascii="Arial" w:cs="Arial" w:eastAsia="Arial" w:hAnsi="Arial"/>
          <w:sz w:val="11"/>
          <w:szCs w:val="11"/>
          <w:color w:val="auto"/>
        </w:rPr>
        <w:t>®</w:t>
      </w:r>
      <w:r>
        <w:rPr>
          <w:rFonts w:ascii="Arial" w:cs="Arial" w:eastAsia="Arial" w:hAnsi="Arial"/>
          <w:sz w:val="13"/>
          <w:szCs w:val="13"/>
          <w:color w:val="auto"/>
        </w:rPr>
        <w:t>, Tether</w:t>
      </w:r>
      <w:r>
        <w:rPr>
          <w:rFonts w:ascii="Arial" w:cs="Arial" w:eastAsia="Arial" w:hAnsi="Arial"/>
          <w:sz w:val="7"/>
          <w:szCs w:val="7"/>
          <w:color w:val="auto"/>
        </w:rPr>
        <w:t>TM</w:t>
      </w:r>
      <w:r>
        <w:rPr>
          <w:rFonts w:ascii="Arial" w:cs="Arial" w:eastAsia="Arial" w:hAnsi="Arial"/>
          <w:sz w:val="13"/>
          <w:szCs w:val="13"/>
          <w:color w:val="auto"/>
        </w:rPr>
        <w:t>, Trel-X</w:t>
      </w:r>
      <w:r>
        <w:rPr>
          <w:rFonts w:ascii="Arial" w:cs="Arial" w:eastAsia="Arial" w:hAnsi="Arial"/>
          <w:sz w:val="7"/>
          <w:szCs w:val="7"/>
          <w:color w:val="auto"/>
        </w:rPr>
        <w:t>TM</w:t>
      </w:r>
      <w:r>
        <w:rPr>
          <w:rFonts w:ascii="Arial" w:cs="Arial" w:eastAsia="Arial" w:hAnsi="Arial"/>
          <w:sz w:val="13"/>
          <w:szCs w:val="13"/>
          <w:color w:val="auto"/>
        </w:rPr>
        <w:t>, Trel-XC</w:t>
      </w:r>
      <w:r>
        <w:rPr>
          <w:rFonts w:ascii="Arial" w:cs="Arial" w:eastAsia="Arial" w:hAnsi="Arial"/>
          <w:sz w:val="11"/>
          <w:szCs w:val="11"/>
          <w:color w:val="auto"/>
        </w:rPr>
        <w:t>®</w:t>
      </w:r>
      <w:r>
        <w:rPr>
          <w:rFonts w:ascii="Arial" w:cs="Arial" w:eastAsia="Arial" w:hAnsi="Arial"/>
          <w:sz w:val="13"/>
          <w:szCs w:val="13"/>
          <w:color w:val="auto"/>
        </w:rPr>
        <w:t>, Tibiaxys</w:t>
      </w:r>
      <w:r>
        <w:rPr>
          <w:rFonts w:ascii="Arial" w:cs="Arial" w:eastAsia="Arial" w:hAnsi="Arial"/>
          <w:sz w:val="11"/>
          <w:szCs w:val="11"/>
          <w:color w:val="auto"/>
        </w:rPr>
        <w:t>®</w:t>
      </w:r>
      <w:r>
        <w:rPr>
          <w:rFonts w:ascii="Arial" w:cs="Arial" w:eastAsia="Arial" w:hAnsi="Arial"/>
          <w:sz w:val="13"/>
          <w:szCs w:val="13"/>
          <w:color w:val="auto"/>
        </w:rPr>
        <w:t>, Uni-CP</w:t>
      </w:r>
      <w:r>
        <w:rPr>
          <w:rFonts w:ascii="Arial" w:cs="Arial" w:eastAsia="Arial" w:hAnsi="Arial"/>
          <w:sz w:val="7"/>
          <w:szCs w:val="7"/>
          <w:color w:val="auto"/>
        </w:rPr>
        <w:t>TM</w:t>
      </w:r>
      <w:r>
        <w:rPr>
          <w:rFonts w:ascii="Arial" w:cs="Arial" w:eastAsia="Arial" w:hAnsi="Arial"/>
          <w:sz w:val="13"/>
          <w:szCs w:val="13"/>
          <w:color w:val="auto"/>
        </w:rPr>
        <w:t>, Uni-Clip</w:t>
      </w:r>
      <w:r>
        <w:rPr>
          <w:rFonts w:ascii="Arial" w:cs="Arial" w:eastAsia="Arial" w:hAnsi="Arial"/>
          <w:sz w:val="11"/>
          <w:szCs w:val="11"/>
          <w:color w:val="auto"/>
        </w:rPr>
        <w:t>®</w:t>
      </w:r>
      <w:r>
        <w:rPr>
          <w:rFonts w:ascii="Arial" w:cs="Arial" w:eastAsia="Arial" w:hAnsi="Arial"/>
          <w:sz w:val="13"/>
          <w:szCs w:val="13"/>
          <w:color w:val="auto"/>
        </w:rPr>
        <w:t>, Universal2</w:t>
      </w:r>
      <w:r>
        <w:rPr>
          <w:rFonts w:ascii="Arial" w:cs="Arial" w:eastAsia="Arial" w:hAnsi="Arial"/>
          <w:sz w:val="7"/>
          <w:szCs w:val="7"/>
          <w:color w:val="auto"/>
        </w:rPr>
        <w:t>TM</w:t>
      </w:r>
      <w:r>
        <w:rPr>
          <w:rFonts w:ascii="Arial" w:cs="Arial" w:eastAsia="Arial" w:hAnsi="Arial"/>
          <w:sz w:val="13"/>
          <w:szCs w:val="13"/>
          <w:color w:val="auto"/>
        </w:rPr>
        <w:t>, Ventrix</w:t>
      </w:r>
      <w:r>
        <w:rPr>
          <w:rFonts w:ascii="Arial" w:cs="Arial" w:eastAsia="Arial" w:hAnsi="Arial"/>
          <w:sz w:val="9"/>
          <w:szCs w:val="9"/>
          <w:color w:val="auto"/>
        </w:rPr>
        <w:t>®</w:t>
      </w:r>
      <w:r>
        <w:rPr>
          <w:rFonts w:ascii="Arial" w:cs="Arial" w:eastAsia="Arial" w:hAnsi="Arial"/>
          <w:sz w:val="13"/>
          <w:szCs w:val="13"/>
          <w:color w:val="auto"/>
        </w:rPr>
        <w:t>, XKnife</w:t>
      </w:r>
      <w:r>
        <w:rPr>
          <w:rFonts w:ascii="Arial" w:cs="Arial" w:eastAsia="Arial" w:hAnsi="Arial"/>
          <w:sz w:val="11"/>
          <w:szCs w:val="11"/>
          <w:color w:val="auto"/>
        </w:rPr>
        <w:t>®</w:t>
      </w:r>
      <w:r>
        <w:rPr>
          <w:rFonts w:ascii="Arial" w:cs="Arial" w:eastAsia="Arial" w:hAnsi="Arial"/>
          <w:sz w:val="13"/>
          <w:szCs w:val="13"/>
          <w:color w:val="auto"/>
        </w:rPr>
        <w:t xml:space="preserve"> and the Integra logo are some of the material trademarks of Integra LifeSciences Corporation and its subsidiaries. MAYFIELD</w:t>
      </w:r>
      <w:r>
        <w:rPr>
          <w:rFonts w:ascii="Arial" w:cs="Arial" w:eastAsia="Arial" w:hAnsi="Arial"/>
          <w:sz w:val="11"/>
          <w:szCs w:val="11"/>
          <w:color w:val="auto"/>
        </w:rPr>
        <w:t>®</w:t>
      </w:r>
      <w:r>
        <w:rPr>
          <w:rFonts w:ascii="Arial" w:cs="Arial" w:eastAsia="Arial" w:hAnsi="Arial"/>
          <w:sz w:val="13"/>
          <w:szCs w:val="13"/>
          <w:color w:val="auto"/>
        </w:rPr>
        <w:t xml:space="preserve"> is a registered trademark of SM USA, Inc., and is used by Integra under license.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At December 31, 2010, we had approximately 3,000 employees engaged in production and production support (including warehouse, engineering and facilities personnel), quality assurance/quality control, research and development, regulatory and clinical affairs, sales, marketing, administration and finance. Except for certain employees at our facilities in France and Mexico, none of our employees is subject to a collective bargaining agreement.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INFORMATION ABOUT GEOGRAPHIC AREAS</w:t>
      </w:r>
    </w:p>
    <w:p>
      <w:pPr>
        <w:spacing w:after="0" w:line="100" w:lineRule="exact"/>
        <w:rPr>
          <w:sz w:val="20"/>
          <w:szCs w:val="20"/>
          <w:color w:val="auto"/>
        </w:rPr>
      </w:pPr>
    </w:p>
    <w:p>
      <w:pPr>
        <w:ind w:left="680" w:right="620" w:firstLine="399"/>
        <w:spacing w:after="0" w:line="320" w:lineRule="auto"/>
        <w:rPr>
          <w:sz w:val="20"/>
          <w:szCs w:val="20"/>
          <w:color w:val="auto"/>
        </w:rPr>
      </w:pPr>
      <w:r>
        <w:rPr>
          <w:rFonts w:ascii="Arial" w:cs="Arial" w:eastAsia="Arial" w:hAnsi="Arial"/>
          <w:sz w:val="12"/>
          <w:szCs w:val="12"/>
          <w:color w:val="auto"/>
        </w:rPr>
        <w:t>Financial information about our geographical areas is set forth under “Item 7. Management’s Discussion and Analysis of Financial Condition and Results of Operations — International Revenues and Operations” and in our financial statements Note 13, “Segment and Geographic Information,” to our Consolidated Financial Statements.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SOURCES OF RAW MATERIALS</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general, raw materials essential to our businesses are readily available from multiple sources. For reasons of quality assurance,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Certain of our products, including our dermal regeneration products, duraplasty products, biomaterial products for the spine,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only from the deep flexor tendon of cattle less than 24 months old from New Zealand, a country that has never had a reported case of bovine spongiform encephalopathy, or from the United States. We are also qualifying sources of collagen from another country that is considered BSE-free. The World Health Organization classifies different types of cattle tissue for relative risk of BSE transmission. Deep flexor tendon is in the lowest-risk category for BSE transmission (the same category as milk, for example), and is therefore considered to have a negligible risk of containing the agent that causes BSE.</w:t>
      </w:r>
    </w:p>
    <w:p>
      <w:pPr>
        <w:spacing w:after="0" w:line="72"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Certain of our demineralized bone matrix products contain human tissue in the form of ground cortical and cancellous bone. We source the bone tissue only from FDA and the American Association of Tissue Banks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(“AATB”) registered and inspected tissue banks. The donors are rigorously screened, tested, and processed in accordance with the FDA and AATB requirements. Only donated tissue from FDA and AATB registered, inspected, non-profit tissue banks is qualified to source for our raw materials. Additionally, each donor must pass all of the FDA-specified bacterial and viral testing before the raw material is distributed to Integra for further processing. We receive with each donor lot a certification of the safety of the raw material from the tissue bank’s medical director.</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As an added assurance of safety, each lot of bone is released into the manufacturing process only after our staff of quality assurance microbiologists screens the incoming bone and serology test records. During our manufacturing process, the bone particles are subjected to our proprietary process and terminally sterilized. We have demonstrated through our testing that this type of rigorous processing further enhances the safety and effectiveness of our demineralized bone material products.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Revenues during our fourth quarter tend to be stronger than other quarters because many hospitals increase their purchases of our products during the fourth quarter to coincide with the end of their budget cycles.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Arial" w:cs="Arial" w:eastAsia="Arial" w:hAnsi="Arial"/>
          <w:sz w:val="12"/>
          <w:szCs w:val="12"/>
          <w:u w:val="single" w:color="auto"/>
          <w:color w:val="auto"/>
        </w:rPr>
        <w:t>www.integralife.com.</w:t>
      </w:r>
      <w:r>
        <w:rPr>
          <w:rFonts w:ascii="Arial" w:cs="Arial" w:eastAsia="Arial" w:hAnsi="Arial"/>
          <w:sz w:val="12"/>
          <w:szCs w:val="12"/>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2"/>
          <w:szCs w:val="12"/>
          <w:u w:val="single" w:color="auto"/>
          <w:color w:val="auto"/>
        </w:rPr>
        <w:t>www.sec.gov.</w:t>
      </w:r>
      <w:r>
        <w:rPr>
          <w:rFonts w:ascii="Arial" w:cs="Arial" w:eastAsia="Arial" w:hAnsi="Arial"/>
          <w:sz w:val="12"/>
          <w:szCs w:val="12"/>
          <w:color w:val="auto"/>
        </w:rPr>
        <w:t xml:space="preserve"> Please call the Securities and Exchange Commission at 1-800-SEC-0330 for further information on the operation of the public reference facilities.</w:t>
      </w:r>
    </w:p>
    <w:p>
      <w:pPr>
        <w:spacing w:after="0" w:line="21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67"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general economic and business conditions, both nationally and in our international markets;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our expectations and estimates concerning future financial performance, financing plans and the impact of competition;</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anticipated trends in our business;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anticipated demand for our products, particularly capital equipment products;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our expectations concerning our ongoing restructuring, integration and manufacturing transfer and expansion activities;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existing and future regulations affecting our business;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our ability to obtain additional debt and equity financing to fund capital expenditures and working capital requirements and acquisitions;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240" w:hanging="190"/>
        <w:spacing w:after="0" w:line="276" w:lineRule="auto"/>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physicians’ willingness to adopt our recently launched and planned products, third-party payors’ willingness to provide or continue reimbursement for these products and our ability to secure regulatory approval for products in development;</w:t>
      </w:r>
    </w:p>
    <w:p>
      <w:pPr>
        <w:spacing w:after="0" w:line="49"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initiatives launched by our competitors;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our ability to protect our intellectual property, including trade secrets;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our ability to complete acquisitions, integrate operations post-acquisition and maintain relationships with customers of acquired entities;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work stoppages at our facilities; and</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auto"/>
        </w:rPr>
        <w:t>other risk factors described in the section entitled “Risk Factors” in this report.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14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results may fluctuate.</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67" w:lineRule="exact"/>
        <w:rPr>
          <w:sz w:val="20"/>
          <w:szCs w:val="20"/>
          <w:color w:val="auto"/>
        </w:rPr>
      </w:pPr>
    </w:p>
    <w:p>
      <w:pPr>
        <w:ind w:left="1280" w:right="500" w:hanging="190"/>
        <w:spacing w:after="0" w:line="276" w:lineRule="auto"/>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current economic conditions, which could affect the ability of hospitals and other customers to purchase our products and could result in a reduction in elective and non-reimbursed operative procedures;</w:t>
      </w:r>
    </w:p>
    <w:p>
      <w:pPr>
        <w:spacing w:after="0" w:line="49"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the impact of acquisitions;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the impact of our restructuring activities;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the timing of significant customer orders, which tend to increase in the fourth quarter to coincide with the end of budget cycles for many hospitals;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market acceptance of our existing products, as well as products in development;</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the timing of regulatory approvals;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2"/>
          <w:szCs w:val="12"/>
          <w:b w:val="1"/>
          <w:bCs w:val="1"/>
          <w:color w:val="auto"/>
        </w:rPr>
      </w:pPr>
      <w:r>
        <w:rPr>
          <w:rFonts w:ascii="Arial" w:cs="Arial" w:eastAsia="Arial" w:hAnsi="Arial"/>
          <w:sz w:val="12"/>
          <w:szCs w:val="12"/>
          <w:color w:val="auto"/>
        </w:rPr>
        <w:t>changes in the rates of exchange between the U.S. dollar and other currencies of foreign countries in which we do business, such as the euro and the British pound;</w:t>
      </w:r>
    </w:p>
    <w:p>
      <w:pPr>
        <w:spacing w:after="0" w:line="97" w:lineRule="exact"/>
        <w:rPr>
          <w:rFonts w:ascii="Arial" w:cs="Arial" w:eastAsia="Arial" w:hAnsi="Arial"/>
          <w:sz w:val="12"/>
          <w:szCs w:val="12"/>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expenses incurred and business lost in connection with product field corrections or recalls;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changes in the cost or decreases in the supply of raw materials, including energy and steel;</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our ability to manufacture our products efficiently;</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the timing of our research and development expenditures;</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reimbursement for our products by third-party payors such as Medicare, Medicaid and private health insurers;</w:t>
      </w:r>
    </w:p>
    <w:p>
      <w:pPr>
        <w:spacing w:after="0" w:line="86" w:lineRule="exact"/>
        <w:rPr>
          <w:rFonts w:ascii="Arial" w:cs="Arial" w:eastAsia="Arial" w:hAnsi="Arial"/>
          <w:sz w:val="13"/>
          <w:szCs w:val="13"/>
          <w:b w:val="1"/>
          <w:bCs w:val="1"/>
          <w:color w:val="auto"/>
        </w:rPr>
      </w:pPr>
    </w:p>
    <w:p>
      <w:pPr>
        <w:ind w:left="1280" w:right="380" w:hanging="190"/>
        <w:spacing w:after="0" w:line="276" w:lineRule="auto"/>
        <w:tabs>
          <w:tab w:leader="none" w:pos="128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140" w:hanging="190"/>
        <w:spacing w:after="0" w:line="276" w:lineRule="auto"/>
        <w:tabs>
          <w:tab w:leader="none" w:pos="128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FDA’s reform to the 510(k) Premarket Notification process which could make it more difficult to obtain clearance of our medical devices and could result in the requirement of clinical trial data in order to obtain FDA clearance.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industry and market segments in which we operate are highly competitive, and we may be unable to compete effectively with other companies.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methodologies from third-party payors, such as Medicare, Medicaid and private healthcare insurance.</w:t>
      </w:r>
    </w:p>
    <w:p>
      <w:pPr>
        <w:spacing w:after="0" w:line="55"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and obtain patent protection.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competitors have launched and have been developing products to compete with our duraplasty products, extremity reconstruction implants, neuro critical care monitors and ultrasonic tissue ablation devices, among others.</w:t>
      </w:r>
    </w:p>
    <w:p>
      <w:pPr>
        <w:spacing w:after="0" w:line="73" w:lineRule="exact"/>
        <w:rPr>
          <w:sz w:val="20"/>
          <w:szCs w:val="20"/>
          <w:color w:val="auto"/>
        </w:rPr>
      </w:pPr>
    </w:p>
    <w:p>
      <w:pPr>
        <w:ind w:left="680" w:right="80" w:firstLine="399"/>
        <w:spacing w:after="0" w:line="307" w:lineRule="auto"/>
        <w:rPr>
          <w:sz w:val="20"/>
          <w:szCs w:val="20"/>
          <w:color w:val="auto"/>
        </w:rPr>
      </w:pPr>
      <w:r>
        <w:rPr>
          <w:rFonts w:ascii="Arial" w:cs="Arial" w:eastAsia="Arial" w:hAnsi="Arial"/>
          <w:sz w:val="11"/>
          <w:szCs w:val="11"/>
          <w:color w:val="auto"/>
        </w:rPr>
        <w:t>Our largest competitors in the neurosurgery markets are Medtronic, Inc., Johnson &amp; Johnson and Stryker Corporation. In addition, many of our neurosurgery product lines compete with smaller specialized companies or larger companies that do not otherwise focus on neurosurgery. Our competitors in extremity reconstruction include Johnson &amp; Johnson, Synthes, Inc. and Stryker Corporation, as well as other major orthopedic companies that carry a full line of reconstructive products. We also compete with Wright Medical Group, Inc., Small Bone Innovations, Inc., Tornier, Inc. and other companies in the extremity reconstruction market category. Our competitors in the spinal implant and orthobiologics markets include Medtronic, Inc., Johnson &amp; Johnson, Synthes, Inc., Stryker Corporation, Zimmer, Inc., NuVasive, Inc., Globus Medical, Inc., Alphatec Spine, Inc., Orthofix and several smaller, biologically focused companies such as Osteotech and Orthovita. In surgical instruments, we compete with V. Mueller, as well as the Aesculap division of B. Braun Medical, Inc. In addition, we compete with Johnson &amp; Johnson and many smaller instrument companies in the reusable and disposable specialty instruments markets. Our private-label products face diverse and broad competition, depending 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126" w:lineRule="exact"/>
        <w:rPr>
          <w:sz w:val="20"/>
          <w:szCs w:val="20"/>
          <w:color w:val="auto"/>
        </w:rPr>
      </w:pPr>
    </w:p>
    <w:p>
      <w:pPr>
        <w:ind w:left="880" w:right="380"/>
        <w:spacing w:after="0" w:line="276" w:lineRule="auto"/>
        <w:rPr>
          <w:sz w:val="20"/>
          <w:szCs w:val="20"/>
          <w:color w:val="auto"/>
        </w:rPr>
      </w:pPr>
      <w:r>
        <w:rPr>
          <w:rFonts w:ascii="Arial" w:cs="Arial" w:eastAsia="Arial" w:hAnsi="Arial"/>
          <w:sz w:val="13"/>
          <w:szCs w:val="13"/>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addition to internally generated growth, our current strategy involves growth through acquisitions. Since the beginning of 2008, we have acquired 7 businesses or product lines at a total cost of approximately $177.2 million.</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05" w:lineRule="auto"/>
        <w:rPr>
          <w:sz w:val="20"/>
          <w:szCs w:val="20"/>
          <w:color w:val="auto"/>
        </w:rPr>
      </w:pPr>
      <w:r>
        <w:rPr>
          <w:rFonts w:ascii="Arial" w:cs="Arial" w:eastAsia="Arial" w:hAnsi="Arial"/>
          <w:sz w:val="11"/>
          <w:szCs w:val="11"/>
          <w:color w:val="auto"/>
        </w:rPr>
        <w:t>significant to us. Any new acquisition could result in material transaction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As we grow by acquisition, we must manage and integrate the new businesses to bring them into our systems for financial, disclosure, compliance, regulatory and quality control, realize economies of scale, and control costs. In addition, acquisitions involve other risks, including diversion of management resources otherwise available for ongoing development of our business and risks associated with entering markets in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future financial results could be adversely affected by impairments or other charges.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Since we have grown through acquisitions, we have $261.9 million of goodwill and $49.7 million of indefinite-lived intangible assets as of December 31, 2010. Under the authoritative guidance for determining the useful life of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73" w:lineRule="exact"/>
        <w:rPr>
          <w:sz w:val="20"/>
          <w:szCs w:val="20"/>
          <w:color w:val="auto"/>
        </w:rPr>
      </w:pPr>
    </w:p>
    <w:p>
      <w:pPr>
        <w:jc w:val="both"/>
        <w:ind w:left="680" w:right="620" w:firstLine="399"/>
        <w:spacing w:after="0" w:line="264" w:lineRule="auto"/>
        <w:rPr>
          <w:sz w:val="20"/>
          <w:szCs w:val="20"/>
          <w:color w:val="auto"/>
        </w:rPr>
      </w:pPr>
      <w:r>
        <w:rPr>
          <w:rFonts w:ascii="Arial" w:cs="Arial" w:eastAsia="Arial" w:hAnsi="Arial"/>
          <w:sz w:val="13"/>
          <w:szCs w:val="13"/>
          <w:color w:val="auto"/>
        </w:rPr>
        <w:t>The guidance on long-lived assets requires that we assess the impairment of our long-lived assets, including definite-lived intangible assets, whenever events or changes in circumstances indicate that the carrying value may not be recoverable as measured by the sum of the expected future undiscounted cash flows. As of December 31, 2010, we had $145.2 million of definite-lived intangible assets.</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Decisions relating to our trade names may occur over time as our re-branding strategy is implemented. Additionally,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67"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60"/>
        <w:spacing w:after="0" w:line="371" w:lineRule="auto"/>
        <w:rPr>
          <w:sz w:val="20"/>
          <w:szCs w:val="20"/>
          <w:color w:val="auto"/>
        </w:rPr>
      </w:pPr>
      <w:r>
        <w:rPr>
          <w:rFonts w:ascii="Arial" w:cs="Arial" w:eastAsia="Arial" w:hAnsi="Arial"/>
          <w:sz w:val="11"/>
          <w:szCs w:val="11"/>
          <w:b w:val="1"/>
          <w:bCs w:val="1"/>
          <w:i w:val="1"/>
          <w:iCs w:val="1"/>
          <w:color w:val="auto"/>
        </w:rPr>
        <w:t>Current economic conditions may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12"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Current economic conditions may adversely affect the ability of hospitals and other customers to access funds to enable them to fund their operating and capital budgets. As a result, hospitals and other customers may reduce budgets or put all or part of their budgets on hold or close their operations, which could have a negative effect on our sales, particularly the sales of more expensive capital equipment such as our ultrasonic surgical aspirators, neuromonitors and stereotactic products, or result in a reduction in elective and non-reimbursed procedures. Governmental austerity policies in Europe and other markets have reduced and may continue to reduce the amount of money available to purchase medical products, including our products.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disruption in the global financial markets and the economic downturn may adversely impact the availability and cost of credit.</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Our ability to refinance our indebtedness and to obtain financing for acquisitions or other general corporate and commercial purposes will depend on our operating and financial performance and is also subject to prevailing economic conditions and to financial, business and other factors beyond our control. In the fall of 2008, global credit markets and the financial services industry experienced a period of unprecedented turmoil characterized by the bankruptcy, failure or sale of various financial institutions, a general tightening of credit, and an unprecedented level of market intervention from the United States and other governments.</w:t>
      </w:r>
    </w:p>
    <w:p>
      <w:pPr>
        <w:spacing w:after="0" w:line="148"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5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have been implementing additional procedures, controls and tracking and reporting processes, as well as paying additional permit and license fees, where required.</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products under development are subject to FDA approval or clearance prior to marketing for commercial use. The process of obtaining necessary FDA approvals or clearances can take years and is expensive and uncertain. The FDA has announced a reform of the 510(k) Premarket Notification process that could make it more difficult to obtain clearance for our medical devices, especially for innovative devices. The FDA has proposed changes for which FDA clearance to market would possibly require clinical data, more extensive manufacturing information and postmarket data. The FDA is also proposing that an FDA inspection of the manufacturing facility may be required for certain products prior to clearance of the 510(k), which is similar to the requirements of a Class III device. As part of the 510(k) reform, the FDA proposes to issue regulations defining grounds and procedures for rescission of 510(k) applications that have previously been cleared to market. The FDA may also require the more extensive PMA process for certain products.</w:t>
      </w:r>
    </w:p>
    <w:p>
      <w:pPr>
        <w:spacing w:after="0" w:line="59"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complete and could be expensive, and there is no guarantee that the results will convince the FDA to approve or clear the additional indication. Any negative outcome in our clinical trials, including as a result of any interim analysis which we may do with respect to our clinical trials from time to time, could adversely affect our ability to launch new products, which could affect our sales and our ability to achieve reimbursement for new or existing products.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payors require clinical trial data for products cleared through the 510(k) process in order to continue reimbursement coverage. These clinical trials could take years to complete and be expensive and there is no guarantee that the FDA will approve the additional indications for use. There is also no guarantee that the payors will agree to continue reimbursement or provide additional coverage based upon these clinical trials. If the FDA does not approve the additional indications for use, our ability to obtain reimbursement for these products and our ability to compete against alternative products or technologies could suffer and, consequently, affect our sales.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70"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manufacturing facilities must be in compliance with FDA Quality System Regulations (current Good Manufacturing Practices). In addition, 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AATB. The AATB has issued operating standards for tissue banking. Compliance with these standards is a requirement in order to become a licensed tissue bank.</w:t>
      </w:r>
    </w:p>
    <w:p>
      <w:pPr>
        <w:spacing w:after="0" w:line="73"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w:t>
      </w:r>
    </w:p>
    <w:p>
      <w:pPr>
        <w:spacing w:after="0" w:line="53"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All of our manufacturing facilities, both international and domestic, are also subject to inspections by or under the authority of the FDA and other regulatory agencies. Failure to comply with applicable regulatory requirements could subject us to issuance of Form 483 observations, warning letters or enforcement action by the FDA or other agencies, including product seizures, recalls, withdrawal of clearances or approvals, restrictions on or injunctions against marketing our product or products based on our technology, cessation of operations and civil and criminal penalties, any of which could materially affect our business.</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are also subject to the regulatory requirements of countries outside the United States where we do business. For example, under the European Union Medical Device Directive, all medical devices must meet the Medical Device Directive standards in order to obtain CE Mark Certification prior to marketing in the EU. CE Mark Certification requires a comprehensive Quality System program, comprehensive technical and clinical documentation and data on the product, which a Notified Body in the EU reviews. In addition, we must be certified to the ISO 13485:2003 Quality System standards and maintain this certification in order to market our products in the EU, Canada, Japan, Latin America, countries in the Asia-Pacific region and most other countries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5" w:lineRule="auto"/>
        <w:rPr>
          <w:sz w:val="20"/>
          <w:szCs w:val="20"/>
          <w:color w:val="auto"/>
        </w:rPr>
      </w:pPr>
      <w:r>
        <w:rPr>
          <w:rFonts w:ascii="Arial" w:cs="Arial" w:eastAsia="Arial" w:hAnsi="Arial"/>
          <w:sz w:val="12"/>
          <w:szCs w:val="12"/>
          <w:color w:val="auto"/>
        </w:rPr>
        <w:t>outside the United States. The EU has revised the Medical Device Directive (93/42/EC as amended by 2007/47/EC). Compliance with these regulations requires extensive documentation, clinical reports for all products sold in the EU and other requirements. Requirements to meet these regulations can be costly and are mandatory to market our products in the EU. Many other countries have instituted new medical device regulations and/or revised current medical device regulations. These regulations often require extensive documentation, including clinical data and may require audits of our manufacturing facilities in order to gain approval to sell our products in that country. There are also associated fees with these new regulations. These regulations are required for all new products and re-registration of our medical devices, and may involve lengthy and expensive reviews.</w:t>
      </w:r>
    </w:p>
    <w:p>
      <w:pPr>
        <w:spacing w:after="0" w:line="55"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products that contain human derived tissue, including those containing demineralized bone matrices, are not medical devices in the EU as defined in the Medical Device Directive (93/42/EC). They are also not medicinal products as defined in Directive 2001/83/EC. Today, regulations, if applicable, differ from one EU member state to the next. Because of the absence of a harmonized regulatory framework and the proposed regulation for advanced therapy medicinal products in the EU, as well as for other countries, the approval process for human-derived cell or tissue based medical products may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 In addition, certain EU member states have instituted new requirements for additional testing that may be prohibitive to obtaining approval in those member states.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Certain of our products contain materials derived from animal sources and may become subject to additional regulation.</w:t>
      </w:r>
    </w:p>
    <w:p>
      <w:pPr>
        <w:spacing w:after="0" w:line="96"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Certain of our products, including our dermal regeneration products, duraplasty products, biomaterial products for the spine, nerve and tendon repair products and certain other products, contain material derived from bovine tissue. Products that contain materials derived from animal sources, including food, pharmaceuticals and medical devices, are increasingly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increased awareness of the issue in North America.</w:t>
      </w:r>
    </w:p>
    <w:p>
      <w:pPr>
        <w:spacing w:after="0" w:line="4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take care to provide that our products are safe and free of agents that can cause disease. In particular, we have qualified a source of collagen from a country outside the United States that is considered BSE-free. The World Health Organization classifies different types of cattle tissue for relative risk of BSE transmission. Deep flexor tendon is in the lowest-risk categories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72"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Certain countries, such as Japan, China, Taiwan and Argentina, have issued regulations that require our collagen products be processed from bovine tendon sourced from countries where no cases of BSE have occurred, and the EU has requested that our dural replacement products and other products that are used in neurological tissue be sourced from bovine tendon sourced from a country where no cases of BSE have occurred. Currently, we purchase our tendon from the United States and New Zealand. We received approval in the EU, Japan, Taiwan, China and Argentina for the use of New Zealand-sourced tendon in the manufacturing of our products. If we cannot continue to use or qualify a source of tendon from New Zealand or another country that has never had a case of BSE, we will not be permitted to sell our collagen products in certain countries.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Certain of our products are derived from human tissue and are subject to additional regulations and requirements.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manufacture medical devices derived from human tissue (demineralized bone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67"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Some HCT/Ps also meet the definition of a biological product, medical device or drug regulated under the FFDCA. Section 361 of the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 labeling, and distribution HCT/Ps, including required labeling information, stringent record keeping; and adverse event reporting. These biologic, device or drug HCT/Ps must comply both with the requirements exclusively applicable to 361 HCT/Ps and, in addition, with requirements applicable to biologics, devices or drugs, including premarket clearance or approval.</w:t>
      </w:r>
    </w:p>
    <w:p>
      <w:pPr>
        <w:spacing w:after="0" w:line="55"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The American Association of Tissue Banks (“AATB”) has issued operating standards for tissue banking. Compliance with these standards is a requirement in order to become a licensed tissue bank. In addition, some states have their own tissue banking regulations. We are licensed or have permits as a tissue bank in California, Florida, New York and Maryland.</w:t>
      </w:r>
    </w:p>
    <w:p>
      <w:pPr>
        <w:spacing w:after="0" w:line="12" w:lineRule="exact"/>
        <w:rPr>
          <w:sz w:val="20"/>
          <w:szCs w:val="20"/>
          <w:color w:val="auto"/>
        </w:rPr>
      </w:pPr>
    </w:p>
    <w:p>
      <w:pPr>
        <w:ind w:left="680" w:right="120" w:firstLine="399"/>
        <w:spacing w:after="0" w:line="308" w:lineRule="auto"/>
        <w:rPr>
          <w:sz w:val="20"/>
          <w:szCs w:val="20"/>
          <w:color w:val="auto"/>
        </w:rPr>
      </w:pPr>
      <w:r>
        <w:rPr>
          <w:rFonts w:ascii="Arial" w:cs="Arial" w:eastAsia="Arial" w:hAnsi="Arial"/>
          <w:sz w:val="11"/>
          <w:szCs w:val="11"/>
          <w:color w:val="auto"/>
        </w:rPr>
        <w:t>In addition, procurement of certain human organs and tissue for transplantation is subject to the restrictions of the National Organ Transplant Act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may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4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the EU, regulations, if applicable, differ from one EU member state to the next. Because of the absence of a harmonized regulatory framework and the proposed regulation for advanced therapy medicinal products in the EU, as well as for other countries, the approval process for human derived cell or tissue based medical products may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Lack of market acceptance for our products or market preference for technologies that compete with our products could reduce our revenues and profitability.</w:t>
      </w:r>
    </w:p>
    <w:p>
      <w:pPr>
        <w:spacing w:after="0" w:line="10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w:t>
      </w:r>
      <w:r>
        <w:rPr>
          <w:rFonts w:ascii="Arial" w:cs="Arial" w:eastAsia="Arial" w:hAnsi="Arial"/>
          <w:sz w:val="11"/>
          <w:szCs w:val="11"/>
          <w:color w:val="auto"/>
        </w:rPr>
        <w:t>®</w:t>
      </w:r>
      <w:r>
        <w:rPr>
          <w:rFonts w:ascii="Arial" w:cs="Arial" w:eastAsia="Arial" w:hAnsi="Arial"/>
          <w:sz w:val="13"/>
          <w:szCs w:val="13"/>
          <w:color w:val="auto"/>
        </w:rPr>
        <w:t xml:space="preserve"> Dermal Regeneration Template.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cannot be certain that our devices and procedures will be able to replace those established treatments or that either physicians or the medical community in general will accept and utilize our devices or any other medical products that we may develop. For example, market acceptance of our bone graft substitutes will depend on our ability to demonstrate that our bone graft substitutes and technologies are an attractive alternative to existing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71"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 addition, our future success depends, in part, on our ability to develop additional products. Even if we determine that a product candidate has medical benefits, the cost of commercializing that product candidate could be too high to justify development. Competitors could develop products that are more effective, achieve or maintain more favorable reimbursement status from third-party payors, including Medicare, Medicaid and third-party health insurance, cost less or are ready for commercial introduction before our products. If we are unable to develop additional commercially viable products, our future prospects could be adversely affected.</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and third-party health insurance, against our products or third-party determinations that favor a competitor’s product over ours, could harm acceptance or continued use of our products. The industry is subject to rapid and continuous change arising from, among other things, consolidation, technological improvements, the pressure on third-party payors and providers to reduce healthcare costs, and healthcare reform legislation. One or more of these factors may vary unpredictably, and such variations could have a material adverse effect on our competitive position. We may not be able to adjust our contemplated plan of development to meet changing market demands.</w:t>
      </w:r>
    </w:p>
    <w:p>
      <w:pPr>
        <w:spacing w:after="0" w:line="137" w:lineRule="exact"/>
        <w:rPr>
          <w:sz w:val="20"/>
          <w:szCs w:val="20"/>
          <w:color w:val="auto"/>
        </w:rPr>
      </w:pPr>
    </w:p>
    <w:p>
      <w:pPr>
        <w:ind w:left="880" w:right="540"/>
        <w:spacing w:after="0" w:line="276" w:lineRule="auto"/>
        <w:rPr>
          <w:sz w:val="20"/>
          <w:szCs w:val="20"/>
          <w:color w:val="auto"/>
        </w:rPr>
      </w:pPr>
      <w:r>
        <w:rPr>
          <w:rFonts w:ascii="Arial" w:cs="Arial" w:eastAsia="Arial" w:hAnsi="Arial"/>
          <w:sz w:val="13"/>
          <w:szCs w:val="13"/>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59" w:lineRule="exact"/>
        <w:rPr>
          <w:sz w:val="20"/>
          <w:szCs w:val="20"/>
          <w:color w:val="auto"/>
        </w:rPr>
      </w:pPr>
    </w:p>
    <w:p>
      <w:pPr>
        <w:jc w:val="both"/>
        <w:ind w:left="680" w:right="200" w:firstLine="399"/>
        <w:spacing w:after="0" w:line="303" w:lineRule="auto"/>
        <w:rPr>
          <w:sz w:val="20"/>
          <w:szCs w:val="20"/>
          <w:color w:val="auto"/>
        </w:rPr>
      </w:pPr>
      <w:r>
        <w:rPr>
          <w:rFonts w:ascii="Arial" w:cs="Arial" w:eastAsia="Arial" w:hAnsi="Arial"/>
          <w:sz w:val="11"/>
          <w:szCs w:val="11"/>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w:t>
      </w:r>
    </w:p>
    <w:p>
      <w:pPr>
        <w:ind w:left="680" w:right="40"/>
        <w:spacing w:after="0" w:line="258" w:lineRule="auto"/>
        <w:rPr>
          <w:sz w:val="20"/>
          <w:szCs w:val="20"/>
          <w:color w:val="auto"/>
        </w:rPr>
      </w:pPr>
      <w:r>
        <w:rPr>
          <w:rFonts w:ascii="Arial" w:cs="Arial" w:eastAsia="Arial" w:hAnsi="Arial"/>
          <w:sz w:val="13"/>
          <w:szCs w:val="13"/>
          <w:color w:val="auto"/>
        </w:rPr>
        <w:t>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may take several years.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competitive position depends, in part, upon unpatented trade secrets which we may be unable to protect.</w:t>
      </w:r>
    </w:p>
    <w:p>
      <w:pPr>
        <w:spacing w:after="0" w:line="96"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67" w:lineRule="exact"/>
        <w:rPr>
          <w:sz w:val="20"/>
          <w:szCs w:val="20"/>
          <w:color w:val="auto"/>
        </w:rPr>
      </w:pPr>
    </w:p>
    <w:p>
      <w:pPr>
        <w:jc w:val="both"/>
        <w:ind w:left="680" w:right="140" w:firstLine="399"/>
        <w:spacing w:after="0" w:line="334" w:lineRule="auto"/>
        <w:rPr>
          <w:sz w:val="20"/>
          <w:szCs w:val="20"/>
          <w:color w:val="auto"/>
        </w:rPr>
      </w:pPr>
      <w:r>
        <w:rPr>
          <w:rFonts w:ascii="Arial" w:cs="Arial" w:eastAsia="Arial" w:hAnsi="Arial"/>
          <w:sz w:val="11"/>
          <w:szCs w:val="11"/>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trade secrets or other proprietary information in the event of the unauthorized use or disclosure of confidential information.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will depend partly on our ability to operate without infringing or misappropriating the proprietary rights of others.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involved in lawsuits relating to our intellectual property rights and promotional practices, which may be expensive.</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To protect or enforce our intellectual property rights, we may have to initiate or defend legal proceedings, such as infringement suits or interference proceedings, against or by third parties. In addition, we may have to institute proceedings regarding our competitors’ promotional practices or defend proceedings regarding our promotional practices. Litigation is costly, and, even if we prevail, the cost of that litigation could affect our profitability. In addition, litigation is time-consuming and could divert management attention and resources away from our business. Moreover, in response to our claims against other parties, those parties could assert counterclaims against us.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It may be difficult to replace some of our suppliers.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69" w:lineRule="exact"/>
        <w:rPr>
          <w:sz w:val="20"/>
          <w:szCs w:val="20"/>
          <w:color w:val="auto"/>
        </w:rPr>
      </w:pPr>
    </w:p>
    <w:p>
      <w:pPr>
        <w:ind w:left="1280" w:right="400" w:hanging="190"/>
        <w:spacing w:after="0" w:line="280" w:lineRule="auto"/>
        <w:tabs>
          <w:tab w:leader="none" w:pos="12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our collagen-based products, such as the INTEGRA</w:t>
      </w:r>
      <w:r>
        <w:rPr>
          <w:rFonts w:ascii="Arial" w:cs="Arial" w:eastAsia="Arial" w:hAnsi="Arial"/>
          <w:sz w:val="11"/>
          <w:szCs w:val="11"/>
          <w:color w:val="auto"/>
        </w:rPr>
        <w:t>®</w:t>
      </w:r>
      <w:r>
        <w:rPr>
          <w:rFonts w:ascii="Arial" w:cs="Arial" w:eastAsia="Arial" w:hAnsi="Arial"/>
          <w:sz w:val="13"/>
          <w:szCs w:val="13"/>
          <w:color w:val="auto"/>
        </w:rPr>
        <w:t xml:space="preserve"> Dermal Regeneration Template and wound dressing products, the DuraGen</w:t>
      </w:r>
      <w:r>
        <w:rPr>
          <w:rFonts w:ascii="Arial" w:cs="Arial" w:eastAsia="Arial" w:hAnsi="Arial"/>
          <w:sz w:val="11"/>
          <w:szCs w:val="11"/>
          <w:color w:val="auto"/>
        </w:rPr>
        <w:t>®</w:t>
      </w:r>
      <w:r>
        <w:rPr>
          <w:rFonts w:ascii="Arial" w:cs="Arial" w:eastAsia="Arial" w:hAnsi="Arial"/>
          <w:sz w:val="13"/>
          <w:szCs w:val="13"/>
          <w:color w:val="auto"/>
        </w:rPr>
        <w:t xml:space="preserve"> family of products, and our Absorbable Collagen Sponges;</w:t>
      </w:r>
    </w:p>
    <w:p>
      <w:pPr>
        <w:spacing w:after="0" w:line="4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our products made from silicone, such as our neurosurgical shunts and drainage systems and hemodynamic shunts; and</w:t>
      </w:r>
    </w:p>
    <w:p>
      <w:pPr>
        <w:spacing w:after="0" w:line="86" w:lineRule="exact"/>
        <w:rPr>
          <w:rFonts w:ascii="Arial" w:cs="Arial" w:eastAsia="Arial" w:hAnsi="Arial"/>
          <w:sz w:val="13"/>
          <w:szCs w:val="13"/>
          <w:b w:val="1"/>
          <w:bCs w:val="1"/>
          <w:color w:val="auto"/>
        </w:rPr>
      </w:pPr>
    </w:p>
    <w:p>
      <w:pPr>
        <w:ind w:left="1280" w:hanging="190"/>
        <w:spacing w:after="0"/>
        <w:tabs>
          <w:tab w:leader="none" w:pos="12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products which use many different electronic parts from numerous suppliers, such as our intracranial monitors and catheters.</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In addition, some of our orthobiologics products rely on a small number of tissue banks accredited by the American Association of Tissue Banks, or AATB, for the supply of human tissue, a crucial component of our bone graft substitutes. We cannot be certain that these tissue banks will be able to fulfill our requirements or that we will be able to successfully negotiate with other accredited tissue facilities on satisfactory terms.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we were suddenly unable to purchase products from one or more of these companies, we would need a significant period of time to qualify a replacement, and the production of any affected products could be disrupted.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146"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Damage to our manufacturing, development or research facilities because of fire, natural disaster, power loss, communications failure, unauthorized entry or other events, such as a flu or other health epidemic, could cause us to cease development and manufacturing of some or all of our products. In particular, our San Diego and Irvine, California facilities are susceptible to earthquake damage, wildfire damage and power losses from electrical shortages as are other businesses in the Southern California area. Our Anasco, Puerto Rico plant, where we manufacture collagen, silicone and our private-label products, is vulnerable to hurricane, storm, earthquake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72"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addition, certain of our surgical instruments have some manufacturing processes performed by third parties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achieving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Further, we manufacture certain products in Europe and our European headquarters is located in France, which country has experienced labor strikes. Thus far, strikes have not had a material impact on our business; however, if such strikes continue, there is no assurance that they would not disrupt our business, which disruption could have a material adverse effect on the business.</w:t>
      </w:r>
    </w:p>
    <w:p>
      <w:pPr>
        <w:spacing w:after="0" w:line="67"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implemented an enterprise business system to support certain of our transaction processing for accounting and financial reporting, supply chain and manufacturing. A third party hosts and maintains this system. Currently, we do not have a comprehensive disaster recovery plan for the Company’s infrastructure but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150" w:lineRule="exact"/>
        <w:rPr>
          <w:sz w:val="20"/>
          <w:szCs w:val="20"/>
          <w:color w:val="auto"/>
        </w:rPr>
      </w:pPr>
    </w:p>
    <w:p>
      <w:pPr>
        <w:ind w:left="880" w:right="40"/>
        <w:spacing w:after="0" w:line="276" w:lineRule="auto"/>
        <w:rPr>
          <w:sz w:val="20"/>
          <w:szCs w:val="20"/>
          <w:color w:val="auto"/>
        </w:rPr>
      </w:pPr>
      <w:r>
        <w:rPr>
          <w:rFonts w:ascii="Arial" w:cs="Arial" w:eastAsia="Arial" w:hAnsi="Arial"/>
          <w:sz w:val="13"/>
          <w:szCs w:val="13"/>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generate significant revenues outside the United States in multiple foreign currencies including euros, British pounds, Swiss francs, Canadian dollars, Japanese yen and Australian dollars,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Since we have operations based outside the United States and we generate revenues and incur operating expenses in multiple foreign currencies including euros, British pounds, Swiss francs, Canadian dollars, Japanese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yen and Australian dollars, we experience currency exchange risk with respect to those foreign currency-denominated revenues and expenses.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5, “Derivative Instruments.”</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Our international operations subject us to laws regarding sanctioned countries, entities and persons, customs, import-export, laws regarding transactions in foreign countries and the U.S. Foreign Corrupt Practices Act and local laws regarding interactions with healthcare professionals. Among other things, these laws restrict, and in some cases prohibit, U.S.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Local economic conditions, legal, regulatory or political considerations, disruptions from strikes,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46"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59" w:lineRule="exact"/>
        <w:rPr>
          <w:sz w:val="20"/>
          <w:szCs w:val="20"/>
          <w:color w:val="auto"/>
        </w:rPr>
      </w:pPr>
    </w:p>
    <w:p>
      <w:pPr>
        <w:ind w:left="680" w:right="320" w:firstLine="399"/>
        <w:spacing w:after="0" w:line="371" w:lineRule="auto"/>
        <w:rPr>
          <w:sz w:val="20"/>
          <w:szCs w:val="20"/>
          <w:color w:val="auto"/>
        </w:rPr>
      </w:pPr>
      <w:r>
        <w:rPr>
          <w:rFonts w:ascii="Arial" w:cs="Arial" w:eastAsia="Arial" w:hAnsi="Arial"/>
          <w:sz w:val="11"/>
          <w:szCs w:val="11"/>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12" w:lineRule="exact"/>
        <w:rPr>
          <w:sz w:val="20"/>
          <w:szCs w:val="20"/>
          <w:color w:val="auto"/>
        </w:rPr>
      </w:pPr>
    </w:p>
    <w:p>
      <w:pPr>
        <w:ind w:left="1280" w:hanging="190"/>
        <w:spacing w:after="0" w:line="264" w:lineRule="auto"/>
        <w:tabs>
          <w:tab w:leader="none" w:pos="1280"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new legislation, which is intended to expand access to health insurance coverage over time, will result in major changes in the United States healthcare system that could have an adverse effect on our business, including a 2.3% excise tax on U.S. sales of most medical devices, which is scheduled to be implemented in 2013, and which could have a material adverse effect on our earnings;</w:t>
      </w:r>
    </w:p>
    <w:p>
      <w:pPr>
        <w:spacing w:after="0" w:line="57" w:lineRule="exact"/>
        <w:rPr>
          <w:rFonts w:ascii="Arial" w:cs="Arial" w:eastAsia="Arial" w:hAnsi="Arial"/>
          <w:sz w:val="13"/>
          <w:szCs w:val="13"/>
          <w:b w:val="1"/>
          <w:bCs w:val="1"/>
          <w:color w:val="auto"/>
        </w:rPr>
      </w:pPr>
    </w:p>
    <w:p>
      <w:pPr>
        <w:ind w:left="1280" w:right="460" w:hanging="190"/>
        <w:spacing w:after="0" w:line="369" w:lineRule="auto"/>
        <w:tabs>
          <w:tab w:leader="none" w:pos="1280" w:val="left"/>
        </w:tabs>
        <w:numPr>
          <w:ilvl w:val="0"/>
          <w:numId w:val="8"/>
        </w:numPr>
        <w:rPr>
          <w:rFonts w:ascii="Arial" w:cs="Arial" w:eastAsia="Arial" w:hAnsi="Arial"/>
          <w:sz w:val="11"/>
          <w:szCs w:val="11"/>
          <w:b w:val="1"/>
          <w:bCs w:val="1"/>
          <w:color w:val="auto"/>
        </w:rPr>
      </w:pPr>
      <w:r>
        <w:rPr>
          <w:rFonts w:ascii="Arial" w:cs="Arial" w:eastAsia="Arial" w:hAnsi="Arial"/>
          <w:sz w:val="11"/>
          <w:szCs w:val="11"/>
          <w:color w:val="auto"/>
        </w:rPr>
        <w:t>major 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 or the elimination of reimbursement;</w:t>
      </w:r>
    </w:p>
    <w:p>
      <w:pPr>
        <w:spacing w:after="0" w:line="4" w:lineRule="exact"/>
        <w:rPr>
          <w:rFonts w:ascii="Arial" w:cs="Arial" w:eastAsia="Arial" w:hAnsi="Arial"/>
          <w:sz w:val="11"/>
          <w:szCs w:val="11"/>
          <w:b w:val="1"/>
          <w:bCs w:val="1"/>
          <w:color w:val="auto"/>
        </w:rPr>
      </w:pPr>
    </w:p>
    <w:p>
      <w:pPr>
        <w:ind w:left="1280" w:hanging="190"/>
        <w:spacing w:after="0"/>
        <w:tabs>
          <w:tab w:leader="none" w:pos="1280"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Medicare, Medicaid and private healthcare insurer cutbacks could create downward price pressure on our products;</w:t>
      </w:r>
    </w:p>
    <w:p>
      <w:pPr>
        <w:spacing w:after="0" w:line="86" w:lineRule="exact"/>
        <w:rPr>
          <w:rFonts w:ascii="Arial" w:cs="Arial" w:eastAsia="Arial" w:hAnsi="Arial"/>
          <w:sz w:val="13"/>
          <w:szCs w:val="13"/>
          <w:b w:val="1"/>
          <w:bCs w:val="1"/>
          <w:color w:val="auto"/>
        </w:rPr>
      </w:pPr>
    </w:p>
    <w:p>
      <w:pPr>
        <w:ind w:left="1280" w:hanging="190"/>
        <w:spacing w:after="0" w:line="320" w:lineRule="auto"/>
        <w:tabs>
          <w:tab w:leader="none" w:pos="1280" w:val="left"/>
        </w:tabs>
        <w:numPr>
          <w:ilvl w:val="0"/>
          <w:numId w:val="8"/>
        </w:numPr>
        <w:rPr>
          <w:rFonts w:ascii="Arial" w:cs="Arial" w:eastAsia="Arial" w:hAnsi="Arial"/>
          <w:sz w:val="12"/>
          <w:szCs w:val="12"/>
          <w:b w:val="1"/>
          <w:bCs w:val="1"/>
          <w:color w:val="auto"/>
        </w:rPr>
      </w:pPr>
      <w:r>
        <w:rPr>
          <w:rFonts w:ascii="Arial" w:cs="Arial" w:eastAsia="Arial" w:hAnsi="Arial"/>
          <w:sz w:val="12"/>
          <w:szCs w:val="12"/>
          <w:color w:val="auto"/>
        </w:rPr>
        <w:t>recently effected local Medicare coverage determinations will eliminate reimbursement for certain of our matrix wound dressing products in most regions, negatively affecting our market for these products, and future determinations could eliminate reimbursement for these products in other regions and could eliminate reimbursement for other products;</w:t>
      </w:r>
    </w:p>
    <w:p>
      <w:pPr>
        <w:spacing w:after="0" w:line="25" w:lineRule="exact"/>
        <w:rPr>
          <w:rFonts w:ascii="Arial" w:cs="Arial" w:eastAsia="Arial" w:hAnsi="Arial"/>
          <w:sz w:val="12"/>
          <w:szCs w:val="12"/>
          <w:b w:val="1"/>
          <w:bCs w:val="1"/>
          <w:color w:val="auto"/>
        </w:rPr>
      </w:pPr>
    </w:p>
    <w:p>
      <w:pPr>
        <w:ind w:left="1280" w:right="260" w:hanging="190"/>
        <w:spacing w:after="0" w:line="276" w:lineRule="auto"/>
        <w:tabs>
          <w:tab w:leader="none" w:pos="1280"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there has been a consolidation among healthcare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49" w:lineRule="exact"/>
        <w:rPr>
          <w:rFonts w:ascii="Arial" w:cs="Arial" w:eastAsia="Arial" w:hAnsi="Arial"/>
          <w:sz w:val="13"/>
          <w:szCs w:val="13"/>
          <w:b w:val="1"/>
          <w:bCs w:val="1"/>
          <w:color w:val="auto"/>
        </w:rPr>
      </w:pPr>
    </w:p>
    <w:p>
      <w:pPr>
        <w:ind w:left="1280" w:right="460" w:hanging="190"/>
        <w:spacing w:after="0" w:line="276" w:lineRule="auto"/>
        <w:tabs>
          <w:tab w:leader="none" w:pos="1280"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49" w:lineRule="exact"/>
        <w:rPr>
          <w:rFonts w:ascii="Arial" w:cs="Arial" w:eastAsia="Arial" w:hAnsi="Arial"/>
          <w:sz w:val="13"/>
          <w:szCs w:val="13"/>
          <w:b w:val="1"/>
          <w:bCs w:val="1"/>
          <w:color w:val="auto"/>
        </w:rPr>
      </w:pPr>
    </w:p>
    <w:p>
      <w:pPr>
        <w:ind w:left="1280" w:hanging="190"/>
        <w:spacing w:after="0"/>
        <w:tabs>
          <w:tab w:leader="none" w:pos="1280"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there is economic pressure to contain healthcare costs in domestic and international markets;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20" w:hanging="190"/>
        <w:spacing w:after="0" w:line="276" w:lineRule="auto"/>
        <w:tabs>
          <w:tab w:leader="none" w:pos="1280" w:val="left"/>
        </w:tabs>
        <w:numPr>
          <w:ilvl w:val="0"/>
          <w:numId w:val="9"/>
        </w:numPr>
        <w:rPr>
          <w:rFonts w:ascii="Arial" w:cs="Arial" w:eastAsia="Arial" w:hAnsi="Arial"/>
          <w:sz w:val="13"/>
          <w:szCs w:val="13"/>
          <w:b w:val="1"/>
          <w:bCs w:val="1"/>
          <w:color w:val="auto"/>
        </w:rPr>
      </w:pPr>
      <w:r>
        <w:rPr>
          <w:rFonts w:ascii="Arial" w:cs="Arial" w:eastAsia="Arial" w:hAnsi="Arial"/>
          <w:sz w:val="13"/>
          <w:szCs w:val="13"/>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49" w:lineRule="exact"/>
        <w:rPr>
          <w:rFonts w:ascii="Arial" w:cs="Arial" w:eastAsia="Arial" w:hAnsi="Arial"/>
          <w:sz w:val="13"/>
          <w:szCs w:val="13"/>
          <w:b w:val="1"/>
          <w:bCs w:val="1"/>
          <w:color w:val="auto"/>
        </w:rPr>
      </w:pPr>
    </w:p>
    <w:p>
      <w:pPr>
        <w:ind w:left="1280" w:right="180" w:hanging="190"/>
        <w:spacing w:after="0" w:line="276" w:lineRule="auto"/>
        <w:tabs>
          <w:tab w:leader="none" w:pos="1280" w:val="left"/>
        </w:tabs>
        <w:numPr>
          <w:ilvl w:val="0"/>
          <w:numId w:val="9"/>
        </w:numPr>
        <w:rPr>
          <w:rFonts w:ascii="Arial" w:cs="Arial" w:eastAsia="Arial" w:hAnsi="Arial"/>
          <w:sz w:val="13"/>
          <w:szCs w:val="13"/>
          <w:b w:val="1"/>
          <w:bCs w:val="1"/>
          <w:color w:val="auto"/>
        </w:rPr>
      </w:pPr>
      <w:r>
        <w:rPr>
          <w:rFonts w:ascii="Arial" w:cs="Arial" w:eastAsia="Arial" w:hAnsi="Arial"/>
          <w:sz w:val="13"/>
          <w:szCs w:val="13"/>
          <w:color w:val="auto"/>
        </w:rPr>
        <w:t>proposed laws or regulations will permit hospitals to provide financial incentives to doctors for reducing hospital costs (known as gainsharing), will award physician efficiency (known as physician profiling), and will encourage partnership with healthcare service and goods providers to reduce prices;</w:t>
      </w:r>
    </w:p>
    <w:p>
      <w:pPr>
        <w:spacing w:after="0" w:line="49" w:lineRule="exact"/>
        <w:rPr>
          <w:rFonts w:ascii="Arial" w:cs="Arial" w:eastAsia="Arial" w:hAnsi="Arial"/>
          <w:sz w:val="13"/>
          <w:szCs w:val="13"/>
          <w:b w:val="1"/>
          <w:bCs w:val="1"/>
          <w:color w:val="auto"/>
        </w:rPr>
      </w:pPr>
    </w:p>
    <w:p>
      <w:pPr>
        <w:ind w:left="1280" w:right="180" w:hanging="190"/>
        <w:spacing w:after="0" w:line="276" w:lineRule="auto"/>
        <w:tabs>
          <w:tab w:leader="none" w:pos="1280" w:val="left"/>
        </w:tabs>
        <w:numPr>
          <w:ilvl w:val="0"/>
          <w:numId w:val="9"/>
        </w:numPr>
        <w:rPr>
          <w:rFonts w:ascii="Arial" w:cs="Arial" w:eastAsia="Arial" w:hAnsi="Arial"/>
          <w:sz w:val="13"/>
          <w:szCs w:val="13"/>
          <w:b w:val="1"/>
          <w:bCs w:val="1"/>
          <w:color w:val="auto"/>
        </w:rPr>
      </w:pPr>
      <w:r>
        <w:rPr>
          <w:rFonts w:ascii="Arial" w:cs="Arial" w:eastAsia="Arial" w:hAnsi="Arial"/>
          <w:sz w:val="13"/>
          <w:szCs w:val="13"/>
          <w:color w:val="auto"/>
        </w:rPr>
        <w:t>the growing prevalence of physician-owned distributorships catering to the spinal surgery market has reduced and may continue to reduce our ability to compete effectively for business from surgeons who own such distributorships; and</w:t>
      </w:r>
    </w:p>
    <w:p>
      <w:pPr>
        <w:spacing w:after="0" w:line="49" w:lineRule="exact"/>
        <w:rPr>
          <w:rFonts w:ascii="Arial" w:cs="Arial" w:eastAsia="Arial" w:hAnsi="Arial"/>
          <w:sz w:val="13"/>
          <w:szCs w:val="13"/>
          <w:b w:val="1"/>
          <w:bCs w:val="1"/>
          <w:color w:val="auto"/>
        </w:rPr>
      </w:pPr>
    </w:p>
    <w:p>
      <w:pPr>
        <w:ind w:left="1280" w:hanging="190"/>
        <w:spacing w:after="0"/>
        <w:tabs>
          <w:tab w:leader="none" w:pos="1280" w:val="left"/>
        </w:tabs>
        <w:numPr>
          <w:ilvl w:val="0"/>
          <w:numId w:val="9"/>
        </w:numPr>
        <w:rPr>
          <w:rFonts w:ascii="Arial" w:cs="Arial" w:eastAsia="Arial" w:hAnsi="Arial"/>
          <w:sz w:val="12"/>
          <w:szCs w:val="12"/>
          <w:b w:val="1"/>
          <w:bCs w:val="1"/>
          <w:color w:val="auto"/>
        </w:rPr>
      </w:pPr>
      <w:r>
        <w:rPr>
          <w:rFonts w:ascii="Arial" w:cs="Arial" w:eastAsia="Arial" w:hAnsi="Arial"/>
          <w:sz w:val="12"/>
          <w:szCs w:val="12"/>
          <w:color w:val="auto"/>
        </w:rPr>
        <w:t>there have been initiatives by third-party payors to challenge the prices charged for medical products that could affect our ability to sell products on a competitive basis.</w:t>
      </w:r>
    </w:p>
    <w:p>
      <w:pPr>
        <w:spacing w:after="0" w:line="10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Both the pressures to reduce prices for our products in response to or despite these trends and the decrease in the size of the market as a result of these trends could adversely affect our levels of revenues and profitability of sales.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Oversight of the medical device industry might affect the manner in which we may sell medical devices and compete in the marketplace.</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you that:</w:t>
      </w:r>
    </w:p>
    <w:p>
      <w:pPr>
        <w:spacing w:after="0" w:line="72" w:lineRule="exact"/>
        <w:rPr>
          <w:sz w:val="20"/>
          <w:szCs w:val="20"/>
          <w:color w:val="auto"/>
        </w:rPr>
      </w:pPr>
    </w:p>
    <w:p>
      <w:pPr>
        <w:ind w:left="1280" w:right="60" w:hanging="190"/>
        <w:spacing w:after="0" w:line="276" w:lineRule="auto"/>
        <w:tabs>
          <w:tab w:leader="none" w:pos="128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government officials charged with responsibility for enforcing those laws will not assert that our sales and marketing practices or customer discount arrangements are in violation of those laws or regulations; or</w:t>
      </w:r>
    </w:p>
    <w:p>
      <w:pPr>
        <w:spacing w:after="0" w:line="49" w:lineRule="exact"/>
        <w:rPr>
          <w:rFonts w:ascii="Arial" w:cs="Arial" w:eastAsia="Arial" w:hAnsi="Arial"/>
          <w:sz w:val="13"/>
          <w:szCs w:val="13"/>
          <w:b w:val="1"/>
          <w:bCs w:val="1"/>
          <w:color w:val="auto"/>
        </w:rPr>
      </w:pPr>
    </w:p>
    <w:p>
      <w:pPr>
        <w:ind w:left="1280" w:hanging="190"/>
        <w:spacing w:after="0"/>
        <w:tabs>
          <w:tab w:leader="none" w:pos="128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government regulators or courts will interpret those laws or regulations in a manner consistent with our interpretation.</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Correspondingly, federal and state laws are also sometimes open to interpretation, and from time to time we may find ourselves at a competitive disadvantage if our interpretation differs from that of our competitors.</w:t>
      </w:r>
    </w:p>
    <w:p>
      <w:pPr>
        <w:spacing w:after="0" w:line="59"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In January 2004, AdvaMed, the principal United States trade association for the medical device industry, put in place a model “code of conduct” that sets forth standards by which its members should abide in the promotion of their products. AdvaMed issued a revised “code of conduct” effective July 1, 2009. We have in place policies and procedures for compliance that we believe are at least as stringent as those set forth in the revised AdvaMed Code, and we provide routine training to our sales and marketing personnel on our policies regarding sales and marketing practices. Pursuant to the revised AdvaMed Code, we have certified our adoption of the revised AdvaMed Code. Nevertheless, the sales and marketing practices of our industry have been the subject of increased scrutiny from federal and state government agencies, and we believe that this trend will continue. For example, recent federal legislation and state legislation would require detailed disclosure of gifts and other remuneration made to health care professionals. In addition, prosecutorial scrutiny and governmental oversight, on the state and federal levels, over some major device companies regarding the retention of healthcare professionals as consultants has limited the manner in which medical device companies may retain healthcare professionals as consultants. We have in place policies to govern how we may retain healthcare professionals as consultants that reflect the current climate on this issue and provide training on these policies. Various hospital organizations, medical societies and trade associations are establishing their own practices that may require detailed disclosures of relationships between healthcare</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professionals and medical device companies or ban or restrict certain marketing and sales practices such as gifts and business meals.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private-label product lines depend significantly on key relationships with third parties, which we could be unable to establish and maintain.</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Our private-label business depends in part on our entering into and maintaining collaborative or alliance agreements with third parties concerning product marketing, as well as research and development programs. The third parties with whom we have entered into agreements might terminate these agreements for a variety of reasons, including developing other sources for the products that we supply. Termination of any of our alliances would require us to develop other means to distribute the affected products and could adversely affect our expectations for the growth of private-label products.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have significant product liability exposure and our insurance may not cover all potential claims.</w:t>
      </w:r>
    </w:p>
    <w:p>
      <w:pPr>
        <w:spacing w:after="0" w:line="96"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subject to requirements relating to hazardous materials which may impose significant compliance or other costs on us.</w:t>
      </w:r>
    </w:p>
    <w:p>
      <w:pPr>
        <w:spacing w:after="0" w:line="96"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Our research, development and manufacturing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handling, treatment, remediation, and disposal of hazardous materials and certain waste products (“Environmental Laws”). For example, our allograft bone tissue processing may generate waste materials, which in the United States, are classified as medical waste under Environmental Laws. Although we believe that our procedures for handling and disposing of hazardous materials comply with the Environmental Laws, the Environmental Laws may be amended in ways that increase our cost of compliance, perhaps materially. Furthermore, the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Our principal executive offices are located in Plainsboro, New Jersey. Our principal manufacturing and research facilities are located in California, Massachusetts, New Jersey, Ohio, Pennsylvania, France, Germany, Ireland, Mexico, Puerto Rico and the United Kingdom. Our instrument procurement operations are located in Germany. Our primary distribution centers are located in Nevada, Ohio, Pennsylvania, Australia, Belgium, Canada and France. In addition, we lease several smaller facilities to support additional administrative, assembly, and distribution operations. Third parties own and operate the facilities in Nevada and Belgium. We own our facilities in Biot, France and the United Kingdom, and certain facilities in Ohio and Pennsylvania and we lease all of our other facilities. We also have repair centers in California, Massachusetts, Ohio and Germany.</w:t>
      </w:r>
    </w:p>
    <w:p>
      <w:pPr>
        <w:spacing w:after="0" w:line="55"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Our manufacturing facilities are registered with the FDA. Our facilities are subject to FDA inspection to assure compliance with Quality System regulations. We believe that our manufacturing facilities are in substantial compliance with Quality System regulations, suitable for their intended purposes and have capacities adequate for current and projected needs for existing products. Some capacity of the plants is being converted, with any needed modification, to meet the current and projected requirements of existing and future products.</w:t>
      </w:r>
    </w:p>
    <w:p>
      <w:pPr>
        <w:spacing w:after="0" w:line="1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Various lawsuits, claims and proceedings are pending or have been settled by us. The most significant of these are described below.</w:t>
      </w:r>
    </w:p>
    <w:p>
      <w:pPr>
        <w:spacing w:after="0" w:line="96" w:lineRule="exact"/>
        <w:rPr>
          <w:sz w:val="20"/>
          <w:szCs w:val="20"/>
          <w:color w:val="auto"/>
        </w:rPr>
      </w:pPr>
    </w:p>
    <w:p>
      <w:pPr>
        <w:ind w:left="680" w:right="340" w:firstLine="399"/>
        <w:spacing w:after="0" w:line="305" w:lineRule="auto"/>
        <w:rPr>
          <w:sz w:val="20"/>
          <w:szCs w:val="20"/>
          <w:color w:val="auto"/>
        </w:rPr>
      </w:pPr>
      <w:r>
        <w:rPr>
          <w:rFonts w:ascii="Arial" w:cs="Arial" w:eastAsia="Arial" w:hAnsi="Arial"/>
          <w:sz w:val="11"/>
          <w:szCs w:val="11"/>
          <w:color w:val="auto"/>
        </w:rPr>
        <w:t>In January 2010, we received a notice from the seller’s representative of the former Theken companies of a disagreement in the calculation of “trade sales” used in calculating a revenue performance payment that we made in November 2009 related to the first performance year that ended September 30, 2009. The notice alleges that we owed an additional</w:t>
      </w:r>
    </w:p>
    <w:p>
      <w:pPr>
        <w:spacing w:after="0" w:line="1"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$6.7 million. In January 2011, we received a notice from the seller’s representative that the alleged amount owed had been reduced to $5.7 million. The Company is currently discussing this matter with the seller’s representative in an attempt to resolve the dispute in accordance with the provisions contained in the asset purchase agreement governing the transaction. We have accrued $3.4 million as our best estimate of the settlement in this matter. The Company believes that there are no additional amounts due under the asset purchase agreement for the second performance year that ended September 30, 2010.</w:t>
      </w:r>
    </w:p>
    <w:p>
      <w:pPr>
        <w:spacing w:after="0" w:line="72"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We also have various product liability claims pending against us for which we currently have accruals totaling $2.1 million recorded in our financial statements. All matters are covered by our insurance policies and we have recorded a corresponding receivable. Therefore, there is no impact on our consolidated statements of operations.</w:t>
      </w:r>
    </w:p>
    <w:p>
      <w:pPr>
        <w:spacing w:after="0" w:line="35"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addition to these matters, we are subject to various claims, lawsuits and proceedings in the ordinary course of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right="660"/>
        <w:spacing w:after="0" w:line="397" w:lineRule="auto"/>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MARKET FOR REGISTRANT’S COMMON EQUITY, RELATED STOCKHOLDER MATTERS AND ISSUER PURCHASES OF EQUITY SECURITIES</w:t>
      </w:r>
      <w:r>
        <w:rPr>
          <w:rFonts w:ascii="Arial" w:cs="Arial" w:eastAsia="Arial" w:hAnsi="Arial"/>
          <w:sz w:val="13"/>
          <w:szCs w:val="13"/>
          <w:b w:val="1"/>
          <w:bCs w:val="1"/>
          <w:color w:val="auto"/>
        </w:rPr>
        <w:t xml:space="preserve"> Market Information, Holders and Dividends</w:t>
      </w:r>
    </w:p>
    <w:p>
      <w:pPr>
        <w:spacing w:after="0" w:line="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common stock trades on The NASDAQ Global Market under the symbol “IART.” The following table lists the high and low sales prices for our common stock for each quarter for the last two years: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2010</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High</w:t>
            </w:r>
          </w:p>
        </w:tc>
        <w:tc>
          <w:tcPr>
            <w:tcW w:w="120" w:type="dxa"/>
            <w:vAlign w:val="bottom"/>
          </w:tcPr>
          <w:p>
            <w:pPr>
              <w:spacing w:after="0"/>
              <w:rPr>
                <w:sz w:val="8"/>
                <w:szCs w:val="8"/>
                <w:color w:val="auto"/>
              </w:rPr>
            </w:pPr>
          </w:p>
        </w:tc>
        <w:tc>
          <w:tcPr>
            <w:tcW w:w="38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rPr>
              <w:t>Low</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w w:val="98"/>
              </w:rPr>
              <w:t>High</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8"/>
                <w:szCs w:val="8"/>
                <w:color w:val="auto"/>
              </w:rPr>
            </w:pPr>
          </w:p>
        </w:tc>
      </w:tr>
      <w:tr>
        <w:trPr>
          <w:trHeight w:val="29"/>
        </w:trPr>
        <w:tc>
          <w:tcPr>
            <w:tcW w:w="6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49.85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38.17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37.41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29.69</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Third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39.93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33.63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36.20</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24.77</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36.81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27.49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22.15</w:t>
            </w:r>
          </w:p>
        </w:tc>
      </w:tr>
      <w:tr>
        <w:trPr>
          <w:trHeight w:val="165"/>
        </w:trPr>
        <w:tc>
          <w:tcPr>
            <w:tcW w:w="6700" w:type="dxa"/>
            <w:vAlign w:val="bottom"/>
          </w:tcPr>
          <w:p>
            <w:pPr>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44.99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36.51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36.00</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18.97</w:t>
            </w:r>
          </w:p>
        </w:tc>
      </w:tr>
    </w:tbl>
    <w:p>
      <w:pPr>
        <w:spacing w:after="0" w:line="72" w:lineRule="exact"/>
        <w:rPr>
          <w:sz w:val="20"/>
          <w:szCs w:val="20"/>
          <w:color w:val="auto"/>
        </w:rPr>
      </w:pPr>
    </w:p>
    <w:p>
      <w:pPr>
        <w:ind w:left="680" w:right="360" w:firstLine="399"/>
        <w:spacing w:after="0" w:line="260" w:lineRule="auto"/>
        <w:rPr>
          <w:sz w:val="20"/>
          <w:szCs w:val="20"/>
          <w:color w:val="auto"/>
        </w:rPr>
      </w:pPr>
      <w:r>
        <w:rPr>
          <w:rFonts w:ascii="Arial" w:cs="Arial" w:eastAsia="Arial" w:hAnsi="Arial"/>
          <w:sz w:val="13"/>
          <w:szCs w:val="13"/>
          <w:color w:val="auto"/>
        </w:rPr>
        <w:t>We have not paid any cash dividends on our common stock since our formation. Our credit facility limits the amount of dividends that we may pay. See “Item 7. Management’s Discussion and Analysis of Financial Condition and Results of Operations — Liquidity and Capital Resources — Amended and Restated Senior Credit Agreement.” Any future determinations to pay cash dividends on the common stock will be at the discretion of our Board of Directors and will depend upon our results of operations, cash flows, and financial condition and other factors deemed relevant by the Board of Directors.</w:t>
      </w:r>
    </w:p>
    <w:p>
      <w:pPr>
        <w:spacing w:after="0" w:line="70" w:lineRule="exact"/>
        <w:rPr>
          <w:sz w:val="20"/>
          <w:szCs w:val="20"/>
          <w:color w:val="auto"/>
        </w:rPr>
      </w:pPr>
    </w:p>
    <w:p>
      <w:pPr>
        <w:ind w:left="680" w:right="1260" w:firstLine="399"/>
        <w:spacing w:after="0" w:line="426" w:lineRule="auto"/>
        <w:rPr>
          <w:sz w:val="20"/>
          <w:szCs w:val="20"/>
          <w:color w:val="auto"/>
        </w:rPr>
      </w:pPr>
      <w:r>
        <w:rPr>
          <w:rFonts w:ascii="Arial" w:cs="Arial" w:eastAsia="Arial" w:hAnsi="Arial"/>
          <w:sz w:val="13"/>
          <w:szCs w:val="13"/>
          <w:color w:val="auto"/>
        </w:rPr>
        <w:t xml:space="preserve">The number of stockholders of record as of February 21, 2011 was approximately 587, which includes stockholders whose shares were held in nominee name. </w:t>
      </w:r>
      <w:r>
        <w:rPr>
          <w:rFonts w:ascii="Arial" w:cs="Arial" w:eastAsia="Arial" w:hAnsi="Arial"/>
          <w:sz w:val="13"/>
          <w:szCs w:val="13"/>
          <w:b w:val="1"/>
          <w:bCs w:val="1"/>
          <w:color w:val="auto"/>
        </w:rPr>
        <w:t>Sales of Unregistered Securities</w:t>
      </w:r>
    </w:p>
    <w:p>
      <w:pPr>
        <w:ind w:left="680" w:firstLine="399"/>
        <w:spacing w:after="0" w:line="308" w:lineRule="auto"/>
        <w:rPr>
          <w:sz w:val="20"/>
          <w:szCs w:val="20"/>
          <w:color w:val="auto"/>
        </w:rPr>
      </w:pPr>
      <w:r>
        <w:rPr>
          <w:rFonts w:ascii="Arial" w:cs="Arial" w:eastAsia="Arial" w:hAnsi="Arial"/>
          <w:sz w:val="11"/>
          <w:szCs w:val="11"/>
          <w:color w:val="auto"/>
        </w:rPr>
        <w:t>The Company committed 310,000 unregistered shares of the Company’s common stock (of which 135,000 were issued on December 22, 2008, with the remainder issued in January 2009), valued at $10.7 million, as part of the purchase price for the acquisition of Omni-Tract. The shares of common stock issued were offered and issued pursuant to a private placement in reliance upon the exemption from registration pursuant to Rule 506 under the Securities Act. Each person to whom shares were issued (each, an “Investor”), is an “accredited investor” as defined in Rule 501(a) and each Investor has represented to the Company that such Investor is acquiring the securities for investment purposes for such Investor’s own account and not with a view toward distribution of the securities. The Company advised each Investor that the securities issued to them have not been registered under the Securities Act and may not be sold unless they are registered under the Securities Act or sold pursuant to a valid exemption from registration under the Securities Act. The certificates representing the shares of common stock issued to the Investors contain a legend that such shares of common stock have not been registered under the Securities Act and state the restrictions on transfer and resale as described above. Additionally, the Company did not engage in any general solicitation or advertisement in connection with the issuance of the above described shares of common stock.</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00"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On October 30, 2007, our Board of Directors authorized us to repurchase shares of our common stock for an aggregate purchase price not to exceed $75.0 million through December 31, 2008. We purchased 500,000 shares of our common stock under this repurchase program during the three months ended December 31, 2007. On October 30, 2008, our Board of Directors terminated the repurchase authorization it adopted in October 2007 and authorized us to repurchase shares of our common stock for an aggregate purchase price not to exceed $75.0 million through December 31, 2010. We did not repurchase any shares of our common stock in 2008 or 2009. Prior to October 2010, we repurchased approximately 858,000 shares of common stock valued at $31.3 million. On October 29, 2010, our Board of Directors terminated the repurchase authorization it adopted in October 2008 and authorized us to repurchase shares of our common stock for an aggregate purchase price not to exceed $75.0 million through December 31, 2012. Shares may be purchased either in the open market or in privately negotiated transactions. As of December 31, 2010, there remained $75.0 million available for share repurchases under this latest authorization. See Note 6, “Treasury Stock,” for further details.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The information set forth below should be read in conjunction with “Item 7. Management’s Discussion and Analysis of Financial Condition and Results of Operations” and our consolidated financial statements and related notes included elsewhere in this report. We have acquired numerous businesses and product lines during the previous five years. As a result of these acquisitions, the consolidated financial results and balance sheet data for certain of the periods presented below may not be directly comparable.</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0"/>
                <w:szCs w:val="10"/>
                <w:b w:val="1"/>
                <w:bCs w:val="1"/>
                <w:color w:val="auto"/>
                <w:w w:val="93"/>
              </w:rPr>
              <w:t>Years Ended December 31,</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96"/>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1580" w:type="dxa"/>
            <w:vAlign w:val="bottom"/>
            <w:gridSpan w:val="5"/>
          </w:tcPr>
          <w:p>
            <w:pPr>
              <w:jc w:val="center"/>
              <w:spacing w:after="0"/>
              <w:rPr>
                <w:sz w:val="20"/>
                <w:szCs w:val="20"/>
                <w:color w:val="auto"/>
              </w:rPr>
            </w:pPr>
            <w:r>
              <w:rPr>
                <w:rFonts w:ascii="Arial" w:cs="Arial" w:eastAsia="Arial" w:hAnsi="Arial"/>
                <w:sz w:val="10"/>
                <w:szCs w:val="10"/>
                <w:b w:val="1"/>
                <w:bCs w:val="1"/>
                <w:color w:val="auto"/>
                <w:w w:val="92"/>
              </w:rPr>
              <w:t>thousands, except per share data)</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Results:</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Total revenues, net</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732,068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682,487</w:t>
            </w:r>
          </w:p>
        </w:tc>
        <w:tc>
          <w:tcPr>
            <w:tcW w:w="4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654,604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550,459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419,297</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Costs and expenses(1)</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633,374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584,663</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607,193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483,171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360,553</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3"/>
                <w:szCs w:val="13"/>
                <w:color w:val="auto"/>
              </w:rPr>
              <w:t>Operating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98,694</w:t>
            </w:r>
          </w:p>
        </w:tc>
        <w:tc>
          <w:tcPr>
            <w:tcW w:w="160" w:type="dxa"/>
            <w:vAlign w:val="bottom"/>
          </w:tcPr>
          <w:p>
            <w:pPr>
              <w:spacing w:after="0"/>
              <w:rPr>
                <w:sz w:val="13"/>
                <w:szCs w:val="13"/>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97,824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47,411</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67,288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58,744</w:t>
            </w:r>
          </w:p>
        </w:tc>
        <w:tc>
          <w:tcPr>
            <w:tcW w:w="0" w:type="dxa"/>
            <w:vAlign w:val="bottom"/>
          </w:tcPr>
          <w:p>
            <w:pPr>
              <w:spacing w:after="0"/>
              <w:rPr>
                <w:sz w:val="1"/>
                <w:szCs w:val="1"/>
                <w:color w:val="auto"/>
              </w:rPr>
            </w:pPr>
          </w:p>
        </w:tc>
      </w:tr>
      <w:tr>
        <w:trPr>
          <w:trHeight w:val="15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 (expense), net(2)</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(18,131)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(22,596)</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(27,971)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(23,561)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(10,304)</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Other income (expense), net</w:t>
            </w: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1,551</w:t>
            </w:r>
          </w:p>
        </w:tc>
        <w:tc>
          <w:tcPr>
            <w:tcW w:w="1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(2,076)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(905)</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2,971</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(2,010)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82,114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73,152</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18,535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46,698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46,430</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Provision for (benefit from) income taxes</w:t>
            </w: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16,445</w:t>
            </w:r>
          </w:p>
        </w:tc>
        <w:tc>
          <w:tcPr>
            <w:tcW w:w="160" w:type="dxa"/>
            <w:vAlign w:val="bottom"/>
          </w:tcPr>
          <w:p>
            <w:pPr>
              <w:spacing w:after="0"/>
              <w:rPr>
                <w:sz w:val="13"/>
                <w:szCs w:val="13"/>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22,197</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(9,192)</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20,949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18,108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65,669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50,955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27,727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25,749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28,322</w:t>
            </w:r>
          </w:p>
        </w:tc>
        <w:tc>
          <w:tcPr>
            <w:tcW w:w="0" w:type="dxa"/>
            <w:vAlign w:val="bottom"/>
          </w:tcPr>
          <w:p>
            <w:pPr>
              <w:spacing w:after="0"/>
              <w:rPr>
                <w:sz w:val="1"/>
                <w:szCs w:val="1"/>
                <w:color w:val="auto"/>
              </w:rPr>
            </w:pPr>
          </w:p>
        </w:tc>
      </w:tr>
      <w:tr>
        <w:trPr>
          <w:trHeight w:val="29"/>
        </w:trPr>
        <w:tc>
          <w:tcPr>
            <w:tcW w:w="4600" w:type="dxa"/>
            <w:vAlign w:val="bottom"/>
            <w:gridSpan w:val="2"/>
            <w:vMerge w:val="restart"/>
          </w:tcPr>
          <w:p>
            <w:pPr>
              <w:spacing w:after="0"/>
              <w:rPr>
                <w:sz w:val="20"/>
                <w:szCs w:val="20"/>
                <w:color w:val="auto"/>
              </w:rPr>
            </w:pPr>
            <w:r>
              <w:rPr>
                <w:rFonts w:ascii="Arial" w:cs="Arial" w:eastAsia="Arial" w:hAnsi="Arial"/>
                <w:sz w:val="13"/>
                <w:szCs w:val="13"/>
                <w:color w:val="auto"/>
              </w:rPr>
              <w:t>Diluted net income per share</w:t>
            </w: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600" w:type="dxa"/>
            <w:vAlign w:val="bottom"/>
            <w:gridSpan w:val="2"/>
            <w:vMerge w:val="continue"/>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2.17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1.74</w:t>
            </w:r>
          </w:p>
        </w:tc>
        <w:tc>
          <w:tcPr>
            <w:tcW w:w="4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0.96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0.86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0.96</w:t>
            </w:r>
          </w:p>
        </w:tc>
        <w:tc>
          <w:tcPr>
            <w:tcW w:w="0" w:type="dxa"/>
            <w:vAlign w:val="bottom"/>
          </w:tcPr>
          <w:p>
            <w:pPr>
              <w:spacing w:after="0"/>
              <w:rPr>
                <w:sz w:val="1"/>
                <w:szCs w:val="1"/>
                <w:color w:val="auto"/>
              </w:rPr>
            </w:pPr>
          </w:p>
        </w:tc>
      </w:tr>
      <w:tr>
        <w:trPr>
          <w:trHeight w:val="15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9"/>
              </w:rPr>
              <w:t>Weighted average common shares outstanding for diluted net income per share</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30,149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29,292</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28,378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29,373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32,685</w:t>
            </w:r>
          </w:p>
        </w:tc>
        <w:tc>
          <w:tcPr>
            <w:tcW w:w="0" w:type="dxa"/>
            <w:vAlign w:val="bottom"/>
          </w:tcPr>
          <w:p>
            <w:pPr>
              <w:spacing w:after="0"/>
              <w:rPr>
                <w:sz w:val="1"/>
                <w:szCs w:val="1"/>
                <w:color w:val="auto"/>
              </w:rPr>
            </w:pPr>
          </w:p>
        </w:tc>
      </w:tr>
      <w:tr>
        <w:trPr>
          <w:trHeight w:val="423"/>
        </w:trPr>
        <w:tc>
          <w:tcPr>
            <w:tcW w:w="1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96"/>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center"/>
              <w:ind w:right="76"/>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Position:</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Cash, cash equivalents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128,763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71,891</w:t>
            </w:r>
          </w:p>
        </w:tc>
        <w:tc>
          <w:tcPr>
            <w:tcW w:w="4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183,546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57,339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22,697</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1,017,308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940,102</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1,026,014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819,788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613,618</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Long-term borrowings under the revolving portion of the senior credit facility(2)</w:t>
            </w: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160,000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160,000</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debt(2)</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294,842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148,754</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299,480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286,742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Retained earnings</w:t>
            </w: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232,830</w:t>
            </w:r>
          </w:p>
        </w:tc>
        <w:tc>
          <w:tcPr>
            <w:tcW w:w="160" w:type="dxa"/>
            <w:vAlign w:val="bottom"/>
          </w:tcPr>
          <w:p>
            <w:pPr>
              <w:spacing w:after="0"/>
              <w:rPr>
                <w:sz w:val="13"/>
                <w:szCs w:val="13"/>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167,161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116,206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89,368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65,251</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499,963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444,885</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372,309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287,594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301,783</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0" w:hanging="259"/>
        <w:spacing w:after="0" w:line="260" w:lineRule="auto"/>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 2008, we recorded an in-process research and development charge of $25.2 million in connection with the Integra Spine acquisition and, we also recorded an $18.0 million stock-based compensation charge related to restricted stock units that were vested on the date of grant. In 2009, 2007 and 2006, we recorded similar in-process research and development charges of $0.3 million for the Innovative Spinal Technologies, Inc. acquisition, $4.6 million for the IsoTis, Inc. acquisition, and $5.9 million for the Kinetikos Medical, Inc. acquisition, respectively.</w:t>
      </w:r>
    </w:p>
    <w:p>
      <w:pPr>
        <w:spacing w:after="0" w:line="20" w:lineRule="exact"/>
        <w:rPr>
          <w:rFonts w:ascii="Arial" w:cs="Arial" w:eastAsia="Arial" w:hAnsi="Arial"/>
          <w:sz w:val="13"/>
          <w:szCs w:val="13"/>
          <w:color w:val="auto"/>
        </w:rPr>
      </w:pPr>
    </w:p>
    <w:p>
      <w:pPr>
        <w:ind w:left="1000" w:right="60" w:hanging="259"/>
        <w:spacing w:after="0" w:line="260" w:lineRule="auto"/>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 2003, we issued $120.0 million of 2.5% contingent convertible subordinated notes due 2008. The net proceeds generated by the notes, after expenses, were $115.9 million. In 2006, we exchanged $119.5 million of these notes for the equivalent amount of new notes. Because the closing price of our stock at the issuance date was higher than the market price trigger of the new notes, the new notes were classified as a current liability. In March 2008, these notes matured and we repaid the principal amount in cash and issued approximately 768,000 shares of our common stock.</w:t>
      </w:r>
    </w:p>
    <w:p>
      <w:pPr>
        <w:spacing w:after="0" w:line="20" w:lineRule="exact"/>
        <w:rPr>
          <w:rFonts w:ascii="Arial" w:cs="Arial" w:eastAsia="Arial" w:hAnsi="Arial"/>
          <w:sz w:val="13"/>
          <w:szCs w:val="13"/>
          <w:color w:val="auto"/>
        </w:rPr>
      </w:pPr>
    </w:p>
    <w:p>
      <w:pPr>
        <w:ind w:left="1000" w:right="140"/>
        <w:spacing w:after="0" w:line="276" w:lineRule="auto"/>
        <w:rPr>
          <w:rFonts w:ascii="Arial" w:cs="Arial" w:eastAsia="Arial" w:hAnsi="Arial"/>
          <w:sz w:val="13"/>
          <w:szCs w:val="13"/>
          <w:color w:val="auto"/>
        </w:rPr>
      </w:pPr>
      <w:r>
        <w:rPr>
          <w:rFonts w:ascii="Arial" w:cs="Arial" w:eastAsia="Arial" w:hAnsi="Arial"/>
          <w:sz w:val="13"/>
          <w:szCs w:val="13"/>
          <w:color w:val="auto"/>
        </w:rPr>
        <w:t>In 2007, we issued $165.0 million of 2.75% senior convertible notes due 2010 (the “2010 Notes”) and $165.0 million of 2.375% senior convertible notes due 2012 (the “2012 Notes” and, collectively with the 2010</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160"/>
        <w:spacing w:after="0" w:line="307" w:lineRule="auto"/>
        <w:rPr>
          <w:sz w:val="20"/>
          <w:szCs w:val="20"/>
          <w:color w:val="auto"/>
        </w:rPr>
      </w:pPr>
      <w:r>
        <w:rPr>
          <w:rFonts w:ascii="Arial" w:cs="Arial" w:eastAsia="Arial" w:hAnsi="Arial"/>
          <w:sz w:val="12"/>
          <w:szCs w:val="12"/>
          <w:color w:val="auto"/>
        </w:rPr>
        <w:t>Notes, the “Notes”). The 2010 Notes were paid off in June 2010 in accordance with their terms. We expect to satisfy any conversion of the 2012 Notes with cash up to their principal amount pursuant to the net share settlement mechanism set forth in the indenture and, with respect to any excess conversion value, with shares of our common stock.</w:t>
      </w:r>
    </w:p>
    <w:p>
      <w:pPr>
        <w:spacing w:after="0" w:line="1" w:lineRule="exact"/>
        <w:rPr>
          <w:sz w:val="20"/>
          <w:szCs w:val="20"/>
          <w:color w:val="auto"/>
        </w:rPr>
      </w:pPr>
    </w:p>
    <w:p>
      <w:pPr>
        <w:ind w:left="1000" w:right="180"/>
        <w:spacing w:after="0" w:line="260" w:lineRule="auto"/>
        <w:rPr>
          <w:sz w:val="20"/>
          <w:szCs w:val="20"/>
          <w:color w:val="auto"/>
        </w:rPr>
      </w:pPr>
      <w:r>
        <w:rPr>
          <w:rFonts w:ascii="Arial" w:cs="Arial" w:eastAsia="Arial" w:hAnsi="Arial"/>
          <w:sz w:val="13"/>
          <w:szCs w:val="13"/>
          <w:color w:val="auto"/>
        </w:rPr>
        <w:t>In both 2008 and 2009 we classified $160.0 million of the revolving portion of our senior credit facility borrowings as long-term debt based on our current intent and ability to repay the borrowings outside of the following twelve-month periods. In 2010 we converted $150.0 million of our revolving loan balance to a term loan as part of our amended and restated senior credit facility that is due at various dates through August 2015. At December 31, 2010, we have a total of $248.1 million outstanding on our senior credit facility and $350.0 million available for future borrowings.</w:t>
      </w:r>
    </w:p>
    <w:p>
      <w:pPr>
        <w:spacing w:after="0" w:line="14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i w:val="1"/>
          <w:i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Integra is a world leader in medical devices focused on limiting uncertainty for surgeons so they can concentrate on providing the best patient care.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present revenues in three market categories — Orthopedics, Neurosurgery and Instruments. Our orthopedics products include specialty metal implants for surgery of the extremities and spine, orthobiologics products for repair and grafting of bone, dermal regeneration products and tissue-engineered wound dressings and nerve and tendon repair products. Our neurosurgery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products include a wide range of specialty and general surgical and dental instruments and surgical lighting for sale to hospitals, outpatient surgery centers, and physician, veterinarian and dental practices.</w:t>
      </w:r>
    </w:p>
    <w:p>
      <w:pPr>
        <w:spacing w:after="0" w:line="7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manufacture many of our products in plants located in the United States, Puerto Rico, France, Germany, Ireland, the United Kingdom and Mexico. We also source most of our handheld surgical instruments and specialty metal implants through specialized third-party vendors.</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the United States, we have three sales channels. Within the Orthopedics sales channel, we sell through a large direct sales organization, and through specialty distributors focused on their respective surgical specialties. Neurosurgery sells products through directly employed sales representatives. Instruments are sold through two sales channels, both directly and through distributors and wholesalers, depending on the customer call point.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also market certain products through strategic partners.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objective is to continue to build a customer-focused and profitable medical device company by developing or acquiring innovative medical devices and other products to sell through our sales channels. Our strategy entails substantial growth in revenues through both internal means — by launching new and innovative products and selling existing products more intensively — and by acquiring existing businesses or by acquiring or in-licensing already successful product lines.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(1) revenue growth (derived through acquisitions and products developed internally), (2) gross margins on total revenues, (3) operating margins (which we aim to continually expand as we leverage our existing infrastructure), (4) earnings before interest, taxes, depreciation, and amortization, and (5) earnings per diluted share of common stock.</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we are particularly effective in the following aspects of our business:</w:t>
      </w:r>
    </w:p>
    <w:p>
      <w:pPr>
        <w:spacing w:after="0" w:line="96" w:lineRule="exact"/>
        <w:rPr>
          <w:sz w:val="20"/>
          <w:szCs w:val="20"/>
          <w:color w:val="auto"/>
        </w:rPr>
      </w:pPr>
    </w:p>
    <w:p>
      <w:pPr>
        <w:jc w:val="both"/>
        <w:ind w:left="1280" w:right="120" w:hanging="190"/>
        <w:spacing w:after="0" w:line="264"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Developing, manufacturing and selling regenerative medicine</w:t>
      </w:r>
      <w:r>
        <w:rPr>
          <w:rFonts w:ascii="Arial" w:cs="Arial" w:eastAsia="Arial" w:hAnsi="Arial"/>
          <w:sz w:val="13"/>
          <w:szCs w:val="13"/>
          <w:color w:val="auto"/>
        </w:rPr>
        <w:t>. We have a broad technology platform for developing products that regenerate or repair soft tissue and bone. We</w:t>
      </w:r>
      <w:r>
        <w:rPr>
          <w:rFonts w:ascii="Arial" w:cs="Arial" w:eastAsia="Arial" w:hAnsi="Arial"/>
          <w:sz w:val="13"/>
          <w:szCs w:val="13"/>
          <w:i w:val="1"/>
          <w:iCs w:val="1"/>
          <w:color w:val="auto"/>
        </w:rPr>
        <w:t xml:space="preserve"> </w:t>
      </w:r>
      <w:r>
        <w:rPr>
          <w:rFonts w:ascii="Arial" w:cs="Arial" w:eastAsia="Arial" w:hAnsi="Arial"/>
          <w:sz w:val="13"/>
          <w:szCs w:val="13"/>
          <w:color w:val="auto"/>
        </w:rPr>
        <w:t>believe that we have a particular advantage in developing, manufacturing and selling tissue repair products derived from bovine collagen. These products comprised 23%, 22% and 22% of revenues in the years ended December 31, 2010, 2009 and 2008, respectively.</w:t>
      </w:r>
    </w:p>
    <w:p>
      <w:pPr>
        <w:spacing w:after="0" w:line="57"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Developing metal implants for bone and joint repair, fixation and fusion</w:t>
      </w:r>
      <w:r>
        <w:rPr>
          <w:rFonts w:ascii="Arial" w:cs="Arial" w:eastAsia="Arial" w:hAnsi="Arial"/>
          <w:sz w:val="13"/>
          <w:szCs w:val="13"/>
          <w:color w:val="auto"/>
        </w:rPr>
        <w:t>. We have significant expertise in developing metal implants for use in bone and joint repair, fixation and</w:t>
      </w:r>
      <w:r>
        <w:rPr>
          <w:rFonts w:ascii="Arial" w:cs="Arial" w:eastAsia="Arial" w:hAnsi="Arial"/>
          <w:sz w:val="13"/>
          <w:szCs w:val="13"/>
          <w:i w:val="1"/>
          <w:iCs w:val="1"/>
          <w:color w:val="auto"/>
        </w:rPr>
        <w:t xml:space="preserve"> </w:t>
      </w:r>
      <w:r>
        <w:rPr>
          <w:rFonts w:ascii="Arial" w:cs="Arial" w:eastAsia="Arial" w:hAnsi="Arial"/>
          <w:sz w:val="13"/>
          <w:szCs w:val="13"/>
          <w:color w:val="auto"/>
        </w:rPr>
        <w:t>fusion and in successfully bringing those products to market.</w:t>
      </w:r>
    </w:p>
    <w:p>
      <w:pPr>
        <w:spacing w:after="0" w:line="49"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Acquiring and integrating new product lines and complementary businesses</w:t>
      </w:r>
      <w:r>
        <w:rPr>
          <w:rFonts w:ascii="Arial" w:cs="Arial" w:eastAsia="Arial" w:hAnsi="Arial"/>
          <w:sz w:val="13"/>
          <w:szCs w:val="13"/>
          <w:color w:val="auto"/>
        </w:rPr>
        <w:t>. Since 2008, we have acquired and integrated 7 product lines or businesses through a disciplined</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 program. We emphasize acquiring companies or product lines at reasonable valuations which complement our existing products or can be used to gain more advantage from our broad technology platform in tissue regeneration and metal implants. Our management is experienced at successfully integrating the acquired product lines and businesses.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Our strategy for growing our business includes the acquisition of complementary product lines and companies. Our recent acquisitions of businesses, assets and product lines may make our financial results for the year ended December 31, 2010 not directly comparable to those of the corresponding prior-year periods. See Note 3, “Acquisitions,” to the financial statements for a further discussion. Additionally, our implementation of the authoritative guidance for business combinations that became effective on January 1, 2009 significantly changes the accounting for business combinations by (i) requiring that we expense most transaction and restructuring costs as they are incurred, whereas we previously capitalized such costs if certain criteria were met, and (ii) capitalizing the fair value of acquired research and development assets, whereas we previously determined the acquisition-date fair value and then immediately charged the value to expense.</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From January 2008 through December 2010, we have acquired the following businesses, assets and product lines:</w:t>
      </w:r>
    </w:p>
    <w:p>
      <w:pPr>
        <w:spacing w:after="0" w:line="96" w:lineRule="exact"/>
        <w:rPr>
          <w:sz w:val="20"/>
          <w:szCs w:val="20"/>
          <w:color w:val="auto"/>
        </w:rPr>
      </w:pPr>
    </w:p>
    <w:p>
      <w:pPr>
        <w:ind w:left="1080" w:right="160" w:firstLine="383"/>
        <w:spacing w:after="0" w:line="264" w:lineRule="auto"/>
        <w:rPr>
          <w:sz w:val="20"/>
          <w:szCs w:val="20"/>
          <w:color w:val="auto"/>
        </w:rPr>
      </w:pPr>
      <w:r>
        <w:rPr>
          <w:rFonts w:ascii="Arial" w:cs="Arial" w:eastAsia="Arial" w:hAnsi="Arial"/>
          <w:sz w:val="13"/>
          <w:szCs w:val="13"/>
          <w:color w:val="auto"/>
        </w:rPr>
        <w:t>In September 2010, we acquired certain assets as well as the distribution rights for our extremity reconstruction product lines in Australia from Culley Investments Pty. Ltd. (“Culley”) for approximately $1.6 million (1.7 million Australian dollars) in cash. For eight years, Culley has been our distributor of these products in Australia. The acquisition provides us with the ability to sell orthopedic products directly to our Australian customers.</w:t>
      </w:r>
    </w:p>
    <w:p>
      <w:pPr>
        <w:spacing w:after="0" w:line="67" w:lineRule="exact"/>
        <w:rPr>
          <w:sz w:val="20"/>
          <w:szCs w:val="20"/>
          <w:color w:val="auto"/>
        </w:rPr>
      </w:pPr>
    </w:p>
    <w:p>
      <w:pPr>
        <w:ind w:left="1080" w:right="600" w:firstLine="383"/>
        <w:spacing w:after="0" w:line="320" w:lineRule="auto"/>
        <w:rPr>
          <w:sz w:val="20"/>
          <w:szCs w:val="20"/>
          <w:color w:val="auto"/>
        </w:rPr>
      </w:pPr>
      <w:r>
        <w:rPr>
          <w:rFonts w:ascii="Arial" w:cs="Arial" w:eastAsia="Arial" w:hAnsi="Arial"/>
          <w:sz w:val="12"/>
          <w:szCs w:val="12"/>
          <w:color w:val="auto"/>
        </w:rPr>
        <w:t>In May 2010, we acquired certain assets and liabilities of the surgical headlight business of Welch Allyn, Inc. (“Welch”) for approximately $2.4 million in cash and $0.2 million of working capital adjustments. We believe that the assets acquired will further our goal of expanding our reach into the surgical headlight market.</w:t>
      </w:r>
    </w:p>
    <w:p>
      <w:pPr>
        <w:spacing w:after="0" w:line="33" w:lineRule="exact"/>
        <w:rPr>
          <w:sz w:val="20"/>
          <w:szCs w:val="20"/>
          <w:color w:val="auto"/>
        </w:rPr>
      </w:pPr>
    </w:p>
    <w:p>
      <w:pPr>
        <w:ind w:left="1080" w:right="20" w:firstLine="383"/>
        <w:spacing w:after="0" w:line="298" w:lineRule="auto"/>
        <w:rPr>
          <w:sz w:val="20"/>
          <w:szCs w:val="20"/>
          <w:color w:val="auto"/>
        </w:rPr>
      </w:pPr>
      <w:r>
        <w:rPr>
          <w:rFonts w:ascii="Arial" w:cs="Arial" w:eastAsia="Arial" w:hAnsi="Arial"/>
          <w:sz w:val="12"/>
          <w:szCs w:val="12"/>
          <w:color w:val="auto"/>
        </w:rPr>
        <w:t>In December 2009, we acquired certain assets as well as the distribution rights for our Newdeal</w:t>
      </w:r>
      <w:r>
        <w:rPr>
          <w:rFonts w:ascii="Arial" w:cs="Arial" w:eastAsia="Arial" w:hAnsi="Arial"/>
          <w:sz w:val="10"/>
          <w:szCs w:val="10"/>
          <w:color w:val="auto"/>
        </w:rPr>
        <w:t>®</w:t>
      </w:r>
      <w:r>
        <w:rPr>
          <w:rFonts w:ascii="Arial" w:cs="Arial" w:eastAsia="Arial" w:hAnsi="Arial"/>
          <w:sz w:val="12"/>
          <w:szCs w:val="12"/>
          <w:color w:val="auto"/>
        </w:rPr>
        <w:t xml:space="preserve"> product lines in the United Kingdom from Athrodax Healthcare International Ltd. (“Athrodax”), for approximately $3.3 million (2.0 million British Pounds) in cash, subject to certain working capital adjustments. For the previous 10 years Athrodax had been our distributor of extremity reconstruction products in the United Kingdom. The acquisition provides us with the opportunity to become closer to our United Kingdom</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customers and includes an experienced sales team in the foot and ankle surgery market that had successfully developed our brand in the United Kingdom.</w:t>
      </w:r>
    </w:p>
    <w:p>
      <w:pPr>
        <w:spacing w:after="0" w:line="96" w:lineRule="exact"/>
        <w:rPr>
          <w:sz w:val="20"/>
          <w:szCs w:val="20"/>
          <w:color w:val="auto"/>
        </w:rPr>
      </w:pPr>
    </w:p>
    <w:p>
      <w:pPr>
        <w:ind w:left="1080" w:right="140" w:firstLine="383"/>
        <w:spacing w:after="0" w:line="256" w:lineRule="auto"/>
        <w:rPr>
          <w:sz w:val="20"/>
          <w:szCs w:val="20"/>
          <w:color w:val="auto"/>
        </w:rPr>
      </w:pPr>
      <w:r>
        <w:rPr>
          <w:rFonts w:ascii="Arial" w:cs="Arial" w:eastAsia="Arial" w:hAnsi="Arial"/>
          <w:sz w:val="13"/>
          <w:szCs w:val="13"/>
          <w:color w:val="auto"/>
        </w:rPr>
        <w:t>In August 2009, we acquired certain assets and liabilities of Innovative Spinal Technologies, Inc. (“IST”) for approximately $9.3 million in cash and $0.2 million in acquisition expenses. IST had filed for Chapter 7 bankruptcy protection in May 2009 and the acquisition resulted from an auction process that the bankruptcy trustee conducted and that a U.S. Bankruptcy Judge for the District of Massachusetts approved. IST’s focus was on spinal implant products related to minimally invasive surgery and motion preservation techniques. We acquired three product lines, various product development assets for posterior dynamic stabilization, various patents and trademarks, inventory, and we assumed certain of IST’s patent license agreements and related obligations. The assets and liabilities acquired did not meet the definition of a business under the authoritative guidance for business combinations. Accordingly, the assets and liabilities have been recognized at cost and the acquired in-process research and development was immediately charged to expense.</w:t>
      </w:r>
    </w:p>
    <w:p>
      <w:pPr>
        <w:spacing w:after="0" w:line="73" w:lineRule="exact"/>
        <w:rPr>
          <w:sz w:val="20"/>
          <w:szCs w:val="20"/>
          <w:color w:val="auto"/>
        </w:rPr>
      </w:pPr>
    </w:p>
    <w:p>
      <w:pPr>
        <w:ind w:left="1080" w:right="80" w:firstLine="383"/>
        <w:spacing w:after="0" w:line="257" w:lineRule="auto"/>
        <w:rPr>
          <w:sz w:val="20"/>
          <w:szCs w:val="20"/>
          <w:color w:val="auto"/>
        </w:rPr>
      </w:pPr>
      <w:r>
        <w:rPr>
          <w:rFonts w:ascii="Arial" w:cs="Arial" w:eastAsia="Arial" w:hAnsi="Arial"/>
          <w:sz w:val="13"/>
          <w:szCs w:val="13"/>
          <w:color w:val="auto"/>
        </w:rPr>
        <w:t>In December 2008, we acquired Minnesota Scientific, Inc., doing business as Omni-Tract Surgical (“Omni-Tract”), for $6.4 million in cash paid at closing, 310,000 unregistered shares of our common stock valued at $10.7 million (of which 135,000 shares were issued at closing, with the remainder issued in January 2009), and $0.3 million in transaction related costs, subject to certain adjustments. Omni-Tract was a global leader in the development and manufacture of table-mounted retractors and is based in St. Paul, Minnesota. Omni-Tract markets and sells these retractor systems for use in vascular, bariatric, general, urologic, orthopedic, spine, pediatric, and laparoscopic surgery. We integrated Omni-Tract’s product lines into our combined offering of Jarit</w:t>
      </w:r>
      <w:r>
        <w:rPr>
          <w:rFonts w:ascii="Arial" w:cs="Arial" w:eastAsia="Arial" w:hAnsi="Arial"/>
          <w:sz w:val="11"/>
          <w:szCs w:val="11"/>
          <w:color w:val="auto"/>
        </w:rPr>
        <w:t>®</w:t>
      </w:r>
      <w:r>
        <w:rPr>
          <w:rFonts w:ascii="Arial" w:cs="Arial" w:eastAsia="Arial" w:hAnsi="Arial"/>
          <w:sz w:val="13"/>
          <w:szCs w:val="13"/>
          <w:color w:val="auto"/>
        </w:rPr>
        <w:t>, Padgett</w:t>
      </w:r>
      <w:r>
        <w:rPr>
          <w:rFonts w:ascii="Arial" w:cs="Arial" w:eastAsia="Arial" w:hAnsi="Arial"/>
          <w:sz w:val="11"/>
          <w:szCs w:val="11"/>
          <w:color w:val="auto"/>
        </w:rPr>
        <w:t>®</w:t>
      </w:r>
      <w:r>
        <w:rPr>
          <w:rFonts w:ascii="Arial" w:cs="Arial" w:eastAsia="Arial" w:hAnsi="Arial"/>
          <w:sz w:val="13"/>
          <w:szCs w:val="13"/>
          <w:color w:val="auto"/>
        </w:rPr>
        <w:t>, Redmond</w:t>
      </w:r>
      <w:r>
        <w:rPr>
          <w:rFonts w:ascii="Arial" w:cs="Arial" w:eastAsia="Arial" w:hAnsi="Arial"/>
          <w:sz w:val="7"/>
          <w:szCs w:val="7"/>
          <w:color w:val="auto"/>
        </w:rPr>
        <w:t>TM</w:t>
      </w:r>
      <w:r>
        <w:rPr>
          <w:rFonts w:ascii="Arial" w:cs="Arial" w:eastAsia="Arial" w:hAnsi="Arial"/>
          <w:sz w:val="13"/>
          <w:szCs w:val="13"/>
          <w:color w:val="auto"/>
        </w:rPr>
        <w:t>, and Luxtec</w:t>
      </w:r>
      <w:r>
        <w:rPr>
          <w:rFonts w:ascii="Arial" w:cs="Arial" w:eastAsia="Arial" w:hAnsi="Arial"/>
          <w:sz w:val="11"/>
          <w:szCs w:val="11"/>
          <w:color w:val="auto"/>
        </w:rPr>
        <w:t>®</w:t>
      </w:r>
      <w:r>
        <w:rPr>
          <w:rFonts w:ascii="Arial" w:cs="Arial" w:eastAsia="Arial" w:hAnsi="Arial"/>
          <w:sz w:val="13"/>
          <w:szCs w:val="13"/>
          <w:color w:val="auto"/>
        </w:rPr>
        <w:t xml:space="preserve"> lines of surgical instruments and illumination systems sold by the Instruments sales organization.</w:t>
      </w:r>
    </w:p>
    <w:p>
      <w:pPr>
        <w:spacing w:after="0" w:line="72" w:lineRule="exact"/>
        <w:rPr>
          <w:sz w:val="20"/>
          <w:szCs w:val="20"/>
          <w:color w:val="auto"/>
        </w:rPr>
      </w:pPr>
    </w:p>
    <w:p>
      <w:pPr>
        <w:ind w:left="1080" w:firstLine="383"/>
        <w:spacing w:after="0" w:line="258" w:lineRule="auto"/>
        <w:rPr>
          <w:sz w:val="20"/>
          <w:szCs w:val="20"/>
          <w:color w:val="auto"/>
        </w:rPr>
      </w:pPr>
      <w:r>
        <w:rPr>
          <w:rFonts w:ascii="Arial" w:cs="Arial" w:eastAsia="Arial" w:hAnsi="Arial"/>
          <w:sz w:val="13"/>
          <w:szCs w:val="13"/>
          <w:color w:val="auto"/>
        </w:rPr>
        <w:t>In October 2008, we acquired Integra Neurosciences Pty Ltd. in Australia and Integra Neurosciences Pty Ltd. in New Zealand (collectively, “Integra Neurosciences Pty Ltd.”) for $4.0 million (6.0 million Australian dollars) in cash at closing, $0.3 million in acquisition expenses and working capital adjustments, and up to $2.1 million (3.1 million Australian dollars) in future payments based on the performance of business in the three years after closing. We paid approximately $0.9 million (1.0 million Australian dollars) of this performance obligation in December 2009 and paid an additional $1.0 million (1.0 million Australian dollars) in December 2010. With this acquisition of our long-standing distributor, we have a direct selling presence in Australia and New Zealand.</w:t>
      </w:r>
    </w:p>
    <w:p>
      <w:pPr>
        <w:spacing w:after="0" w:line="71" w:lineRule="exact"/>
        <w:rPr>
          <w:sz w:val="20"/>
          <w:szCs w:val="20"/>
          <w:color w:val="auto"/>
        </w:rPr>
      </w:pPr>
    </w:p>
    <w:p>
      <w:pPr>
        <w:ind w:left="1080" w:right="20" w:firstLine="383"/>
        <w:spacing w:after="0" w:line="255" w:lineRule="auto"/>
        <w:rPr>
          <w:sz w:val="20"/>
          <w:szCs w:val="20"/>
          <w:color w:val="auto"/>
        </w:rPr>
      </w:pPr>
      <w:r>
        <w:rPr>
          <w:rFonts w:ascii="Arial" w:cs="Arial" w:eastAsia="Arial" w:hAnsi="Arial"/>
          <w:sz w:val="13"/>
          <w:szCs w:val="13"/>
          <w:color w:val="auto"/>
        </w:rPr>
        <w:t>In August 2008, we acquired Theken Spine, LLC, Theken Disc, LLC and Therics, LLC (collectively, “Integra Spine”) for $75.0 million in cash, subject to certain adjustments, acquisition expenses of $2.4 million, working capital adjustments of $3.9 million, and up to $125.0 million in future payments based on the revenue performance of the business in each of the two years after closing. We paid approximately $52.0 million for the first year performance obligation in November 2009 and accrued an additional $3.4 million at December 31, 2010 related to a disputed settlement amount. We believe that there are no additional amounts due for the second performance year, which ended on September 30, 2010. Integra Spine, based in Akron, Ohio, designs, develops and manufactures spinal fixation products, synthetic bone substitute products and spinal arthroplasty products. With Integra Spine, we acquired a unique and comprehensive portfolio of spinal implant products with a robust technology pipeline, demonstrated product development capacity, an established network of spinal hardware distributors with established access to the orthopedic spine market, and a strong sales management team with extensive experience in the orthopedic spine market.</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FACILITY CONSOLIDATION, MANUFACTURING AND DISTRIBUTION TRANSFER ACTIVITIES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a result of our ongoing acquisition strategy and significant growth in recent years, we have undertaken many cost-saving initiatives to consolidate manufacturing and distribution facilities and activities, implement a global enterprise resource planning system, eliminate duplicative positions, and realign various sales and marketing activities, and to expand and upgrade production capacity for our regenerative medicine products.</w:t>
      </w:r>
    </w:p>
    <w:p>
      <w:pPr>
        <w:spacing w:after="0" w:line="65" w:lineRule="exact"/>
        <w:rPr>
          <w:sz w:val="20"/>
          <w:szCs w:val="20"/>
          <w:color w:val="auto"/>
        </w:rPr>
      </w:pPr>
    </w:p>
    <w:p>
      <w:pPr>
        <w:ind w:left="680" w:right="400" w:firstLine="399"/>
        <w:spacing w:after="0" w:line="323" w:lineRule="auto"/>
        <w:rPr>
          <w:sz w:val="20"/>
          <w:szCs w:val="20"/>
          <w:color w:val="auto"/>
        </w:rPr>
      </w:pPr>
      <w:r>
        <w:rPr>
          <w:rFonts w:ascii="Arial" w:cs="Arial" w:eastAsia="Arial" w:hAnsi="Arial"/>
          <w:sz w:val="12"/>
          <w:szCs w:val="12"/>
          <w:color w:val="auto"/>
        </w:rPr>
        <w:t>In 2010 we began using third-party manufacturers to provide the light source and fiber-optic cables used in our Luxtec</w:t>
      </w:r>
      <w:r>
        <w:rPr>
          <w:rFonts w:ascii="Arial" w:cs="Arial" w:eastAsia="Arial" w:hAnsi="Arial"/>
          <w:sz w:val="10"/>
          <w:szCs w:val="10"/>
          <w:color w:val="auto"/>
        </w:rPr>
        <w:t>®</w:t>
      </w:r>
      <w:r>
        <w:rPr>
          <w:rFonts w:ascii="Arial" w:cs="Arial" w:eastAsia="Arial" w:hAnsi="Arial"/>
          <w:sz w:val="12"/>
          <w:szCs w:val="12"/>
          <w:color w:val="auto"/>
        </w:rPr>
        <w:t xml:space="preserve"> products and curtailed our own manufacturing in West Boylston, Massachusetts. Additionally, in 2010 we moved a portion of our instruments distribution operations from Hawthorne, New York to York, Pennsylvania.</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00" w:firstLine="399"/>
        <w:spacing w:after="0" w:line="264" w:lineRule="auto"/>
        <w:rPr>
          <w:sz w:val="20"/>
          <w:szCs w:val="20"/>
          <w:color w:val="auto"/>
        </w:rPr>
      </w:pPr>
      <w:r>
        <w:rPr>
          <w:rFonts w:ascii="Arial" w:cs="Arial" w:eastAsia="Arial" w:hAnsi="Arial"/>
          <w:sz w:val="13"/>
          <w:szCs w:val="13"/>
          <w:color w:val="auto"/>
        </w:rPr>
        <w:t>In 2008, we transferred the assembly of our Spinal Specialties brand of customized pain management kits from our San Diego, California manufacturing facility to our pain management kit assembly facility in Salt Lake City, Utah that was included in the assets acquired from Physician Industries, Inc. in May 2007. Additionally, in January 2008, we completed the integration of the LXU Healthcare acquisition and closed its administrative facility in Tucson, Arizona.</w:t>
      </w:r>
    </w:p>
    <w:p>
      <w:pPr>
        <w:spacing w:after="0" w:line="67" w:lineRule="exact"/>
        <w:rPr>
          <w:sz w:val="20"/>
          <w:szCs w:val="20"/>
          <w:color w:val="auto"/>
        </w:rPr>
      </w:pPr>
    </w:p>
    <w:p>
      <w:pPr>
        <w:ind w:left="680" w:right="1020" w:firstLine="399"/>
        <w:spacing w:after="0" w:line="276" w:lineRule="auto"/>
        <w:rPr>
          <w:sz w:val="20"/>
          <w:szCs w:val="20"/>
          <w:color w:val="auto"/>
        </w:rPr>
      </w:pPr>
      <w:r>
        <w:rPr>
          <w:rFonts w:ascii="Arial" w:cs="Arial" w:eastAsia="Arial" w:hAnsi="Arial"/>
          <w:sz w:val="13"/>
          <w:szCs w:val="13"/>
          <w:color w:val="auto"/>
        </w:rPr>
        <w:t>In connection with these restructuring activities, we recorded $0.6 million, $0.4 million and $0.5 million in 2010, 2009 and 2008, respectively, for the estimated costs of employee termination benefits to be provided to the affected employees and related facility exit costs.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While we expect a positive impact from ongoing restructuring, integration and manufacturing transfer and expansion activities, such results remain uncertain.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income in 2010 was $65.7 million, or $2.17 per diluted share, as compared to $51.0 million, or $1.74 per diluted share in 2009, and $27.7 million, or $0.96 per diluted share 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Charges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Income before taxes includes the following special charges: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55"/>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left="24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SPECIAL CHARGES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Acquired in-process research and development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277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25,240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w w:val="96"/>
              </w:rPr>
              <w:t>Stock-based compensation charge from renewal of the Chief Executive Officer’s employment agreement and other related charges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18,356</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3"/>
                <w:szCs w:val="13"/>
                <w:color w:val="auto"/>
                <w:w w:val="94"/>
              </w:rPr>
              <w:t>Charges related to our Chief Operating Officer’s fully-vested equity and cash signing bonus compensation and other expenses related</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to his joining the Company</w:t>
            </w:r>
          </w:p>
        </w:tc>
        <w:tc>
          <w:tcPr>
            <w:tcW w:w="14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2,188</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Charges associated with discontinued or withdrawn product lines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Incremental professional and bank fees related to the possibility of obtaining a waiver under our revolving credit facility</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Facility consolidation, manufacturing and distribution transfer charges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1,676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Systems implementation charges</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3,462</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Certain employee termination and related charges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1,498</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Acquisition-related charges</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2,509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5,322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7,013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Litigation settlement (gain) and related charges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Charges recorded in connection with terminating defined benefit plans</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372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impairment charges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Non-cash amortization of imputed interest as a result of the adoption of the current convertible debt accounting</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7,125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9,900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12,471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Charges related to restructuring European entities (1)</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1,329</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1,876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Gain related to early extinguishment of convertible notes</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(469)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21,149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67,172</w:t>
            </w:r>
          </w:p>
        </w:tc>
        <w:tc>
          <w:tcPr>
            <w:tcW w:w="800" w:type="dxa"/>
            <w:vAlign w:val="bottom"/>
          </w:tcPr>
          <w:p>
            <w:pPr>
              <w:spacing w:after="0"/>
              <w:rPr>
                <w:sz w:val="14"/>
                <w:szCs w:val="14"/>
                <w:color w:val="auto"/>
              </w:rPr>
            </w:pPr>
          </w:p>
        </w:tc>
      </w:tr>
      <w:tr>
        <w:trPr>
          <w:trHeight w:val="618"/>
        </w:trPr>
        <w:tc>
          <w:tcPr>
            <w:tcW w:w="680" w:type="dxa"/>
            <w:vAlign w:val="bottom"/>
          </w:tcPr>
          <w:p>
            <w:pPr>
              <w:spacing w:after="0"/>
              <w:rPr>
                <w:sz w:val="24"/>
                <w:szCs w:val="24"/>
                <w:color w:val="auto"/>
              </w:rPr>
            </w:pPr>
          </w:p>
        </w:tc>
        <w:tc>
          <w:tcPr>
            <w:tcW w:w="7300" w:type="dxa"/>
            <w:vAlign w:val="bottom"/>
          </w:tcPr>
          <w:p>
            <w:pPr>
              <w:ind w:left="4940"/>
              <w:spacing w:after="0"/>
              <w:rPr>
                <w:sz w:val="20"/>
                <w:szCs w:val="20"/>
                <w:color w:val="auto"/>
              </w:rPr>
            </w:pPr>
            <w:r>
              <w:rPr>
                <w:rFonts w:ascii="Arial" w:cs="Arial" w:eastAsia="Arial" w:hAnsi="Arial"/>
                <w:sz w:val="13"/>
                <w:szCs w:val="13"/>
                <w:color w:val="auto"/>
              </w:rPr>
              <w:t>31</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140" w:hanging="259"/>
        <w:spacing w:after="0" w:line="320" w:lineRule="auto"/>
        <w:tabs>
          <w:tab w:leader="none" w:pos="10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foreign exchange loss in 2009 of $1.9 million is associated with our intercompany loan set up in connection with the restructuring of a German subsidiary in the fourth quarter of 2008. Net income for 2010, 2009 and 2008 includes foreign exchange gains and losses associated with intercompany loans not related to any restructuring.</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items reported above are reflected in the consolidated statements of operations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3,642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8,779</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102</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25,240</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9,424</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20,682</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Intangible asset amortization</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856</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7,125</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12,471</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Other income (expense), net</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1,154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21,149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67,172</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established by management, and against other companies in our industry. We provide this information to investors so that they can analyze our operating results in the same way that management does and to use this information in their assessment of our core business and their valuation of Integra.</w:t>
      </w:r>
    </w:p>
    <w:p>
      <w:pPr>
        <w:spacing w:after="0" w:line="70" w:lineRule="exact"/>
        <w:rPr>
          <w:sz w:val="20"/>
          <w:szCs w:val="20"/>
          <w:color w:val="auto"/>
        </w:rPr>
      </w:pPr>
    </w:p>
    <w:p>
      <w:pPr>
        <w:jc w:val="both"/>
        <w:ind w:left="680" w:right="60" w:firstLine="399"/>
        <w:spacing w:after="0" w:line="301" w:lineRule="auto"/>
        <w:rPr>
          <w:sz w:val="20"/>
          <w:szCs w:val="20"/>
          <w:color w:val="auto"/>
        </w:rPr>
      </w:pPr>
      <w:r>
        <w:rPr>
          <w:rFonts w:ascii="Arial" w:cs="Arial" w:eastAsia="Arial" w:hAnsi="Arial"/>
          <w:sz w:val="11"/>
          <w:szCs w:val="11"/>
          <w:color w:val="auto"/>
        </w:rPr>
        <w:t>Special charges are typically defined as charges for which the amounts and/or timing of such expenses may vary significantly from period-to-period, depending upon our acquisition, integration, and restructuring activities for which the amounts are non-cash in nature, or for which the amounts are not expected to recur at the same magnitude as we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w:t>
      </w:r>
    </w:p>
    <w:p>
      <w:pPr>
        <w:spacing w:after="0" w:line="2" w:lineRule="exact"/>
        <w:rPr>
          <w:sz w:val="20"/>
          <w:szCs w:val="20"/>
          <w:color w:val="auto"/>
        </w:rPr>
      </w:pPr>
    </w:p>
    <w:p>
      <w:pPr>
        <w:ind w:left="680" w:right="620"/>
        <w:spacing w:after="0" w:line="264" w:lineRule="auto"/>
        <w:rPr>
          <w:sz w:val="20"/>
          <w:szCs w:val="20"/>
          <w:color w:val="auto"/>
        </w:rPr>
      </w:pPr>
      <w:r>
        <w:rPr>
          <w:rFonts w:ascii="Arial" w:cs="Arial" w:eastAsia="Arial" w:hAnsi="Arial"/>
          <w:sz w:val="13"/>
          <w:szCs w:val="13"/>
          <w:color w:val="auto"/>
        </w:rPr>
        <w:t>Beginning in 2010, we are investing significant resources in the global implementation of a single enterprise resource planning system. A substantial portion of those costs will be capitalized; however, a portion of those costs will be recorded as operating expenses.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Total Revenues and Gross Margin</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3"/>
              </w:rPr>
              <w:t>Years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2010</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96"/>
              <w:spacing w:after="0" w:line="98" w:lineRule="exact"/>
              <w:rPr>
                <w:sz w:val="20"/>
                <w:szCs w:val="20"/>
                <w:color w:val="auto"/>
              </w:rPr>
            </w:pPr>
            <w:r>
              <w:rPr>
                <w:rFonts w:ascii="Arial" w:cs="Arial" w:eastAsia="Arial" w:hAnsi="Arial"/>
                <w:sz w:val="10"/>
                <w:szCs w:val="10"/>
                <w:b w:val="1"/>
                <w:bCs w:val="1"/>
                <w:color w:val="auto"/>
                <w:w w:val="89"/>
              </w:rPr>
              <w:t>2009</w:t>
            </w: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Orthopedics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290,050</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262,170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217,953</w:t>
            </w:r>
          </w:p>
        </w:tc>
        <w:tc>
          <w:tcPr>
            <w:tcW w:w="0" w:type="dxa"/>
            <w:vAlign w:val="bottom"/>
          </w:tcPr>
          <w:p>
            <w:pPr>
              <w:spacing w:after="0"/>
              <w:rPr>
                <w:sz w:val="1"/>
                <w:szCs w:val="1"/>
                <w:color w:val="auto"/>
              </w:rPr>
            </w:pP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Neurosurgery</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275,046</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256,544</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256,869</w:t>
            </w:r>
          </w:p>
        </w:tc>
        <w:tc>
          <w:tcPr>
            <w:tcW w:w="0" w:type="dxa"/>
            <w:vAlign w:val="bottom"/>
          </w:tcPr>
          <w:p>
            <w:pPr>
              <w:spacing w:after="0"/>
              <w:rPr>
                <w:sz w:val="1"/>
                <w:szCs w:val="1"/>
                <w:color w:val="auto"/>
              </w:rPr>
            </w:pP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Instruments</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166,972</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163,773</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179,782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3"/>
                <w:szCs w:val="13"/>
                <w:color w:val="auto"/>
              </w:rPr>
              <w:t>Total revenues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732,068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682,487</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654,604</w:t>
            </w:r>
          </w:p>
        </w:tc>
        <w:tc>
          <w:tcPr>
            <w:tcW w:w="0" w:type="dxa"/>
            <w:vAlign w:val="bottom"/>
          </w:tcPr>
          <w:p>
            <w:pPr>
              <w:spacing w:after="0"/>
              <w:rPr>
                <w:sz w:val="1"/>
                <w:szCs w:val="1"/>
                <w:color w:val="auto"/>
              </w:rPr>
            </w:pPr>
          </w:p>
        </w:tc>
      </w:tr>
      <w:tr>
        <w:trPr>
          <w:trHeight w:val="158"/>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revenues</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268,188</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244,918</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252,826</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3"/>
                <w:szCs w:val="13"/>
                <w:color w:val="auto"/>
              </w:rPr>
              <w:t>Gross margin</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8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463,880</w:t>
            </w:r>
          </w:p>
        </w:tc>
        <w:tc>
          <w:tcPr>
            <w:tcW w:w="44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437,569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401,778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Gross margin as a percentage of revenues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63.4%</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64.1%</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For the year ended December 31, 2010, total revenues increased by $49.6 million or 7%, to $732.1 million from $682.5 million during the prior-year. Domestic revenues increased by 8% to $561.2 million and were 77% of total revenues for the year ended December 31, 2010. International revenues increased $7.5 million to $170.8 million, an increase of 5% compared to 2009. Foreign exchange fluctuations, arising primarily from a weaker euro and a stronger Australian dollar compared to the U.S. dollar than in 2009, accounted for a net $0.7 million decrease in revenues for the year ended December 31, 2010.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Orthopedics revenues were $290.1 million, an increase of 11% over the prior-year period. Our extremities reconstruction products led the dollar growth in this category followed by our private-label products. Most of the increase in extremities products came from sales of regenerative medicine products for skin and wound repair and from metal implants from the forefoot, mid- and hindfoot. Sales of metal spinal implants were up only slightly compared to 2009. The growth in the spinal hardware market has slowed dramatically in the past year, and we are facing new competition, particularly from physician-owned distributorships.</w:t>
      </w:r>
    </w:p>
    <w:p>
      <w:pPr>
        <w:spacing w:after="0" w:line="70"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Neurosurgery revenues were $275.0 million, an increase of 7% over the prior year period. Sales of ultrasonic tissue ablation products led the growth in neurosurgery, followed by stereotaxy and cranial stabilization systems as capital spending at hospitals improved over 2009. Sales of implants, including duraplasty products and shunts, grew more slowly than the capital equipment products.</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Instruments revenues were $167.0 million, an increase of 2% over the prior year period. This growth principally came from increases in hospital-based instrument sales and surgical lighting systems. Sales to physician, dental, and veterinary offices lagged.</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2009, total revenues increased $27.9 million, or 4%, over 2008 to $682.5 million. Sales of products acquired since the beginning of 2008 comprised approximately $39.8 million of this increase, and changes in foreign currency exchange rates had a $7.6 million unfavorable effect on 2009 revenues. Orthopedics revenues increased $44.2 million to $262.1 million, or 20%. Sales of our spine implants from our August 2008 Integra Spine acquisition provided most of the year-over-year growth as sales of extremity reconstruction products for skin/wound, mid/hindfoot, and upper extremity applications, and orthobiologics products grew within our expectations. Neurosurgery revenues decreased $0.3 million, or less than 1%, to $256.5 million. Reduced capital spending by hospitals negatively affected sales of our image-guided surgery and stereotactic radio surgery systems and neuro monitoring equipment. This was offset by increased revenues from implants, particularly our DuraGen</w:t>
      </w:r>
      <w:r>
        <w:rPr>
          <w:rFonts w:ascii="Arial" w:cs="Arial" w:eastAsia="Arial" w:hAnsi="Arial"/>
          <w:sz w:val="11"/>
          <w:szCs w:val="11"/>
          <w:color w:val="auto"/>
        </w:rPr>
        <w:t>®</w:t>
      </w:r>
      <w:r>
        <w:rPr>
          <w:rFonts w:ascii="Arial" w:cs="Arial" w:eastAsia="Arial" w:hAnsi="Arial"/>
          <w:sz w:val="13"/>
          <w:szCs w:val="13"/>
          <w:color w:val="auto"/>
        </w:rPr>
        <w:t xml:space="preserve"> family of products. Instruments revenues decreased $16.0 million, or 9%, to $163.8 million. We continued to eliminate distributed lines, and discontinued our OEM surgical lighting business. Sales of hospital-based instruments increased as a result of the acquisition of Omni-Tract in December 2008, but all other lines were down.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With our global reach, we generate revenues in multiple foreign currencies, including euros, British pounds, Swiss francs, Canadian dollars, Japanese yen and Australian dollars.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Accordingly, we will experience currency exchange risk with respect to those foreign currency denominated revenues.</w:t>
      </w:r>
    </w:p>
    <w:p>
      <w:pPr>
        <w:spacing w:after="0" w:line="8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Gross margin as a percentage of revenues was 63.4% in 2010, 64.1% in 2009 and 61.3% in 2008. The decrease in gross margin percentage from 2009 to 2010 results from higher overall production costs and engineering expenses associated with manufacturing improvement projects, which offset an improvement in the mix of sales toward higher margin products. The increase from 2008 to 2009 results from a higher proportion of product sales coming from higher margin implants, particularly products for spine and extremity reconstruction, in combination with reduced sales of lower margin instruments, distributed and capital products in 2009. Cost of product revenues in 2010, 2009 and 2008, respectively, included $1.8 million, $4.6 million and $6.7 million in fair value inventory purchase accounting adjustments recorded in connection with acquisitions. The following charges also negatively affected our gross margin: in 2010, $1.9 million related to manufacturing transitions and severance, in 2009, $0.9 million technology-related intangible asset impairments; and in 2008, $1.2 million associated with discontinued or withdrawn product lines. In 2010, 2009 and 2008, respectively, cost of product revenues included $5.9 million, $6.6 million and $4.8 million of intangible asset amortization for technology-based intangible assets.</w:t>
      </w:r>
    </w:p>
    <w:p>
      <w:pPr>
        <w:spacing w:after="0" w:line="7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 2011, we expect our consolidated gross margin to increase because we expect (i) to improve the efficiency of our manufacturing operations resulting in better yields and lower costs, and to a lesser extent, (ii) sales of our higher gross margin metal and biomaterial implant products, particularly those from our orthopedic lines, to continue to increase as a proportion of total revenues. We expect to invest a portion of the gross margin improvements in capital and operating expenses related to a significant increase in regenerative medicine production capacity in 2011 and 2012.</w:t>
      </w:r>
    </w:p>
    <w:p>
      <w:pPr>
        <w:spacing w:after="0" w:line="7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Future gross margin improvements in our business are expected to be generated by the implementation of programs to reduce costs at our manufacturing plants, more efficient management of our inventory and from changes in the sales mix.</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Operating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other operating expenses as a percent of total revenues: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40" w:type="dxa"/>
            <w:vAlign w:val="bottom"/>
          </w:tcPr>
          <w:p>
            <w:pPr>
              <w:spacing w:after="0"/>
              <w:rPr>
                <w:sz w:val="10"/>
                <w:szCs w:val="10"/>
                <w:color w:val="auto"/>
              </w:rPr>
            </w:pPr>
          </w:p>
        </w:tc>
        <w:tc>
          <w:tcPr>
            <w:tcW w:w="1540" w:type="dxa"/>
            <w:vAlign w:val="bottom"/>
            <w:tcBorders>
              <w:bottom w:val="single" w:sz="8" w:color="auto"/>
            </w:tcBorders>
            <w:gridSpan w:val="5"/>
          </w:tcPr>
          <w:p>
            <w:pPr>
              <w:jc w:val="center"/>
              <w:ind w:left="240"/>
              <w:spacing w:after="0"/>
              <w:rPr>
                <w:sz w:val="20"/>
                <w:szCs w:val="20"/>
                <w:color w:val="auto"/>
              </w:rPr>
            </w:pPr>
            <w:r>
              <w:rPr>
                <w:rFonts w:ascii="Arial" w:cs="Arial" w:eastAsia="Arial" w:hAnsi="Arial"/>
                <w:sz w:val="10"/>
                <w:szCs w:val="10"/>
                <w:b w:val="1"/>
                <w:bCs w:val="1"/>
                <w:color w:val="auto"/>
                <w:w w:val="93"/>
              </w:rPr>
              <w:t>Years Ended December 31,</w:t>
            </w: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804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8"/>
                <w:szCs w:val="8"/>
                <w:color w:val="auto"/>
              </w:rPr>
            </w:pPr>
          </w:p>
        </w:tc>
      </w:tr>
      <w:tr>
        <w:trPr>
          <w:trHeight w:val="29"/>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04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6.4%</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157"/>
        </w:trPr>
        <w:tc>
          <w:tcPr>
            <w:tcW w:w="804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41.7%</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41.1%</w:t>
            </w:r>
          </w:p>
        </w:tc>
        <w:tc>
          <w:tcPr>
            <w:tcW w:w="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42.9%</w:t>
            </w:r>
          </w:p>
        </w:tc>
      </w:tr>
      <w:tr>
        <w:trPr>
          <w:trHeight w:val="157"/>
        </w:trPr>
        <w:tc>
          <w:tcPr>
            <w:tcW w:w="804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amortization</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2.1%</w:t>
            </w: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expenses increased to $48.1 million in 2010, compared to $44.3 million in 2009, which decreased from</w:t>
      </w:r>
    </w:p>
    <w:p>
      <w:pPr>
        <w:spacing w:after="0" w:line="27"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$60.5 million in 2008. Research and development expenses in 2009 and 2008, respectively, included $0.3 million and $25.2 million of in-process research and development charges related to the IST and Integra Spine acquisitions, respectively. There were no in-process research and development charges incurred during 2010. The increased research and development expense in 2010 resulted primarily from additional headcount in product development personnel. Excluding the in-process research and development charges, the net increase of $8.7 million in 2009 arose largely from the full-year effect of the acquisitions of Integra Spine and Omni-Tract, with the balance of the increase related to increased head count and project expenditures focused on orthopedic product development and other regulatory activities.</w:t>
      </w:r>
    </w:p>
    <w:p>
      <w:pPr>
        <w:spacing w:after="0" w:line="73"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Integra Spine in-process research and development charge was primarily comprised $20.2 million related to eDisc products and $4.7 million related to spinal fixation implants. The Company has suspended the development of the eDisc products and is considering other opportunities for the technology. Of the 13 implant systems that were in development at the time of the acquisition, 12 were successfully launched and one was discontinued. These changes in plans will not have a significant impact on the Company’s overall financial condition.</w:t>
      </w:r>
    </w:p>
    <w:p>
      <w:pPr>
        <w:spacing w:after="0" w:line="5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continuously monitor our research and development projects. We believe that the assumptions used in the valuation of acquired development projects represent a reasonably reliable estimate of the future benefits attributable to the acquired in-process research and development.</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Excluding acquisition-related and other special charges, we target future spending on research and development to be about 6.5% to 7% of total revenues. In order to focus our research and development on high growth, high margin products, we are concentrating most of our planned spending for 2011 on product development efforts for our spine, neurosurgery and extremity reconstruction product lines. We do not generally invest in product development for the majority of our hand-held surgical instruments.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SELLING, GENERAL AND ADMINISTRATIVE. </w:t>
      </w:r>
      <w:r>
        <w:rPr>
          <w:rFonts w:ascii="Arial" w:cs="Arial" w:eastAsia="Arial" w:hAnsi="Arial"/>
          <w:sz w:val="12"/>
          <w:szCs w:val="12"/>
          <w:color w:val="auto"/>
        </w:rPr>
        <w:t>Selling, general and administrative expenses in the year ended December 31, 2010 increased by $24.0 million to $305.1 million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compared to $281.1 million in 2009. Selling expenses increased by $9.2 million primarily because of an increase in revenues and the corresponding commission costs. General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administrative costs increased $11.6 million to $132.2 million compared to $120.5 million in the same period last year resulting from increases in compensation, due in part to increases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headcount for our enterprise resource planning system implementation, and also the impact of $2.2 million of signing bonus and other expenses related to the hiring of the new President and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Chief Operating Officer. In 2009, selling, general and administrative expenses as a percentage of revenue decreased two percentage points to 41%. The $0.1 million increase in 2009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$281.1 million reflects an $18.0 million stock-based compensation charge recorded in connection with the renewal of our chief executive officer’s employment agreement in 2008. Excluding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effect of the compensation charge, our selling, general and administrative expenses increased $18.1 million in 2009 primarily from a full year of our Integra Spine, Omni-Tract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Integra Neurosciences Pty Ltd. acquisitions, which accounted for an increase of $19.2 million. Integra Spine, in particular, has substantially higher selling expense as a percentage of revenue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than most of our product lines.</w:t>
      </w:r>
    </w:p>
    <w:p>
      <w:pPr>
        <w:spacing w:after="0" w:line="89"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For 2010, 2009 and 2008, respectively, we reported $16.7 million (inclusive of a stock-compensation charge of $1.5 million relating to grants made in connection with the hiring of our new President and Chief Operating Officer), $15.0 million and $31.7 million (inclusive of a stock-compensation charge of $18.0 million relating to grants made in connection with the renewal of our CEO’s employment agreement), of stock-based compensation charges in selling, general and administrative expenses.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For 2011, we expect general and administrative expenses to be flat; however, we expect to grow the sales team, resulting in similar overall costs as a percentage of revenue. We also expect to incur significant costs related to upgrading our enterprise resource planning system, which will be characterized as special charges. Excluding all special charges, we target future selling, general and administrative expenses at between 40% and 42% of revenues.</w:t>
      </w:r>
    </w:p>
    <w:p>
      <w:pPr>
        <w:spacing w:after="0" w:line="67"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Additionally, the implementation of the guidance for business combinations that became effective on January 1, 2009 could result in an increase in future selling, general and administrative and other operating expenses, depending upon the extent of our acquisition-related activities going forward. This guidance changed the practice for accounting for business combinations, such as requiring that we (1) expense transaction costs as incurred, rather than capitalizing them as part of the purchase price; (2) 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whereas we previously determined the acquisition-date fair value and then immediately charged the value to expense; and (4) limit the conditions under which restructuring expenses can be accrued in the opening balance sheet of a target to only those where certain requirements would have been met at the acquisition date.</w:t>
      </w:r>
    </w:p>
    <w:p>
      <w:pPr>
        <w:spacing w:after="0" w:line="45"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INTANGIBLE ASSET AMORTIZATION. </w:t>
      </w:r>
      <w:r>
        <w:rPr>
          <w:rFonts w:ascii="Arial" w:cs="Arial" w:eastAsia="Arial" w:hAnsi="Arial"/>
          <w:sz w:val="12"/>
          <w:szCs w:val="12"/>
          <w:color w:val="auto"/>
        </w:rPr>
        <w:t>In 2010, amortization expense (excluding amount reported in cost of product revenues for technology-based intangible assets) decreased by</w:t>
      </w:r>
      <w:r>
        <w:rPr>
          <w:rFonts w:ascii="Arial" w:cs="Arial" w:eastAsia="Arial" w:hAnsi="Arial"/>
          <w:sz w:val="12"/>
          <w:szCs w:val="12"/>
          <w:i w:val="1"/>
          <w:iCs w:val="1"/>
          <w:color w:val="auto"/>
        </w:rPr>
        <w:t xml:space="preserve"> </w:t>
      </w:r>
      <w:r>
        <w:rPr>
          <w:rFonts w:ascii="Arial" w:cs="Arial" w:eastAsia="Arial" w:hAnsi="Arial"/>
          <w:sz w:val="12"/>
          <w:szCs w:val="12"/>
          <w:color w:val="auto"/>
        </w:rPr>
        <w:t>$2.3 million to $12.0 million compared to $14.4 million in 2009. The decrease resulted mainly from the completion of the amortization period for certain intangible assets and impairments recorded in 2009, partially offset by $0.8 million for impairment of several trade names in connection with our re-branding strategy in 2010. Additionally, we may discontinue certain products in the future as we continue to assess the profitability of our product lines. As this re-branding strategy and product profitability assessment evolves, we may make further decisions about our trade names and our product lines and incur additional impairment charges or accelerate amortization on certain trade names or technology-related intangible assets. In 2009, amortization expense (excluding amounts reported in cost of product revenues for technology-based intangible assets) increased $1.5 million to $14.4 million, resulting from amortization on intangible assets acquired through our business acquisitions and $0.6 million of impairment charges recorded against certain tradename intangible assets.</w:t>
      </w:r>
    </w:p>
    <w:p>
      <w:pPr>
        <w:spacing w:after="0" w:line="5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Including the impact of intangible assets acquired in 2010, we expect total annual amortization expense (including amounts reported in cost of product revenues) to be approximately $16.9 million in 2011, $16.6 million in 2012, $13.9 million in 2013, $12.9 million in 2014, and $11.4 million in 2015.</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Non-Operating Income and Expenses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recorded interest income on our invested cash of $0.2 million, $0.6 million and $2.1 million in 2010, 2009 and 2008, respectively. Interest income decreased in 2010 and 2009 because of lower yields on invested cash and cash equivalents and lower average cash balances.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Interest expense was $18.4 million, $23.2 million and $30.1 million in 2010, 2009 and 2008, respectively, in connection with our convertible notes and credit facility. The expense was primarily associated with the principal amount of the outstanding 2010 Notes, the 2012 Notes, the 2008 Notes and interest and fees related to our $600.0 million senior secured credit facility. Interest expense included in these amounts from the non-cash amortization of imputed interest as a result of the adoption of the current convertible debt accounting was $7.1 million, $9.9 million $12.5 million, respectively.</w:t>
      </w:r>
    </w:p>
    <w:p>
      <w:pPr>
        <w:spacing w:after="0" w:line="70"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The interest expense decreased in 2010 primarily because of repurchases of our 2010 Notes throughout 2009 and their settlement in June 2010, and our non-cash interest expense decreased for the same reason. These decreases were partially offset by a higher interest rate paid on borrowings from our amended and restated senior credit facility beginning in August 2010.</w:t>
      </w:r>
    </w:p>
    <w:p>
      <w:pPr>
        <w:spacing w:after="0" w:line="67"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The interest expense in connection with the Notes decreased in 2009 due to the reduced principal amount of our 2010 Notes during the year, from $165.0 million at December 31, 2008, to $77.9 million at December 31, 2009. Non-cash amortization of imputed interest related to the adoption of the current convertible debt accounting decreased for the same reason. Interest expense to be paid on our credit facility decreased primarily as a result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lower interest rates in existence in 2009 relative to 2008 as well as to a decrease in the balance on the facility, from $260.0 million at December 31, 2008 to $160.0 million at December 31, 2009.</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reported interest expense for the years ended December 31, 2010, 2009 and 2008 included $1.6 million, $1.8 million and $2.4 million, respectively, of non-cash amortization of debt issuance costs.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2010, net other income was $1.6 million consisting primarily of foreign exchange gains of $1.1 million, and other gains of $0.5 million. In 2009 net other expense was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$2.1 million, consisting primarily of foreign exchange losses of $3.4 million, partially offset by net gains on the repurchase of our 2010 Notes of $0.5 million, and other items of $0.8 million.</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Our effective income tax rate was 20.0%, 30.3% and (49.6)% of income before income taxes in 2010, 2009 and 2008, respectively. See Note 10, “Income Taxes,” in our consolidated financial statements for a reconciliation of the United States Federal statutory rate to our effective tax rate. In 2010, we recorded a tax benefit of $4.5 million related to the settlement of several uncertain tax positions and a benefit related to the passing of the Tax Relief, Unemployment Insurance Reauthorization and Job Creation Act of 2010 (the “TRUJ Act”). Since the TRUJ Act was passed during the fourth quarter of 2010, the tax impact for the entire year was recorded at that time. We expect the TRUJ Act to have a positive impact on our effective tax rate through the end of 2011. In 2008, we recorded a tax benefit of $10.0 million associated with the restructuring of our German operations. The decrease in 2008 was also attributable to the additional deferral of income earned in low tax jurisdictions. Without these tax benefits, our effective income tax rates for 2008 would have been similar to 2009.</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effective tax rate could vary from year to year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2011 to be between 20% and 21%.</w:t>
      </w:r>
    </w:p>
    <w:p>
      <w:pPr>
        <w:spacing w:after="0" w:line="67"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The net increase in our deferred tax asset valuation allowance was $0.5 million in 2010 and $0.1 million in 2009. Our deferred tax asset valuation allowance decreased by $5.0 million in 2008.</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 valuation allowance of $36.6 million is recorded against the remaining $112.9 million of gross deferred tax assets recorded at December 31, 2010. This valuation allowance relates to deferred tax assets for certain expenses which will be deductible for tax purposes in very limited circumstances and for which we believe it is unlikely that we will recognize the associated tax benefit. We do not anticipate additional income tax benefits through future reductions in the valuation allowance. However, if we determine that we would be able to realize more or less than the recorded amount of net deferred tax assets, we will record an adjustment to the deferred tax asset valuation allowance in the period such a determination is made.</w:t>
      </w:r>
    </w:p>
    <w:p>
      <w:pPr>
        <w:spacing w:after="0" w:line="53"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At December 31, 2010 we had net operating loss carryforwards of $9.4 million for federal income tax purposes, $135.6 million for foreign income tax purposes and $35.1 million for state income tax purposes to offset future taxable income. The federal net operating loss carryforwards expire through 2027, $46.0 million of the foreign net operating loss carryforwards expire through 2018 with the remaining $89.7 million having an indefinite carry forward period. The state net operating loss carry forwards expire through 2029.</w:t>
      </w:r>
    </w:p>
    <w:p>
      <w:pPr>
        <w:spacing w:after="0" w:line="5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At December 31, 2010, certain of our subsidiaries had unused net operating loss carryforwards and tax credit carryforwards arising from periods prior to our ownership which expire through 2027. The Internal Revenue Code limits the timing and manner in which we may use any acquired net operating losses or tax credits.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INTERNATIONAL REVENUES AND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by major geographic area are summarized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4"/>
              </w:rPr>
              <w:t>For Years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561,240</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519,203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494,459</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Europe</w:t>
            </w:r>
          </w:p>
        </w:tc>
        <w:tc>
          <w:tcPr>
            <w:tcW w:w="16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89,381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93,414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98,848</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Asia Pacific</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40,584</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32,788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28,509</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Other Foreign</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40,863</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37,082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32,788</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Consolidated</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732,068</w:t>
            </w:r>
          </w:p>
        </w:tc>
        <w:tc>
          <w:tcPr>
            <w:tcW w:w="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682,487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654,604</w:t>
            </w: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2010, revenues from customers outside the United States totaled $170.8 million or 23% of consolidated revenues, of which approximately 52% were sales to European customers.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Revenues from customers outside the United States included $125.8 million of revenues generated in foreign currencies.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2009, revenues from customers outside the United States totaled $163.3 million or 24% of consolidated revenues, of which approximately 57% were sales to European customers.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Revenues from customers outside the United States included $124.8 million of revenues generated in foreign currencies.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2008, revenues from customers outside the United States totaled $160.1 million or 24% of consolidated revenues, of which approximately 62% were sales to European customers.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Revenues from customers outside the United States included $116.7 million of revenues generated in foreign currencies.</w:t>
      </w:r>
    </w:p>
    <w:p>
      <w:pPr>
        <w:spacing w:after="0" w:line="89"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Generally, more than 75% of our revenues are from customers within the United States. Over the past several years, revenues from our European customers have been trending down largely due to the continuing impact that austerity measures put in place by various EU governments have had on healthcare spending. This trend has been offset by increases in sales to our foreign customers in Asia, Australia, Canada and South America as we continue to expand our sales efforts in these areas.</w:t>
      </w:r>
    </w:p>
    <w:p>
      <w:pPr>
        <w:spacing w:after="0" w:line="67" w:lineRule="exact"/>
        <w:rPr>
          <w:sz w:val="20"/>
          <w:szCs w:val="20"/>
          <w:color w:val="auto"/>
        </w:rPr>
      </w:pPr>
    </w:p>
    <w:p>
      <w:pPr>
        <w:jc w:val="both"/>
        <w:ind w:left="680" w:right="180" w:firstLine="399"/>
        <w:spacing w:after="0" w:line="320" w:lineRule="auto"/>
        <w:rPr>
          <w:sz w:val="20"/>
          <w:szCs w:val="20"/>
          <w:color w:val="auto"/>
        </w:rPr>
      </w:pPr>
      <w:r>
        <w:rPr>
          <w:rFonts w:ascii="Arial" w:cs="Arial" w:eastAsia="Arial" w:hAnsi="Arial"/>
          <w:sz w:val="12"/>
          <w:szCs w:val="12"/>
          <w:color w:val="auto"/>
        </w:rPr>
        <w:t>With our global reach, we generate revenues and incur operating expenses in multiple foreign currencies, including euros, British pounds, Swiss francs, Canadian dollars, Japanese yen and Australian dollars. Accordingly, we will experience currency exchange risk with respect to those foreign currency denominated revenues and operating expenses.</w:t>
      </w:r>
    </w:p>
    <w:p>
      <w:pPr>
        <w:spacing w:after="0" w:line="35"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We will continue to assess the potential effects that changes in foreign currency exchange rates could have on our business. However, either a strengthening or a weakening of the dollar against individual foreign currencies could reduce future gross margins and operating margins. If we believe this potential impact presents a significant risk to our business, we may enter into derivative financial instruments to mitigate this risk.</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67"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Local economic conditions, regulatory or political considerations, the effectiveness of our sales representatives and distributors, local competition and changes in local medical practice all could combine to affect our sales into markets outside the United States.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Relationships with customers and effective terms of sale frequently vary by country, often with longer-term receivables than are typical in the United States.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0"/>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(In millions)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71.9</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Borrowings under senior credit facility</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(248.1)</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(160.0)</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Convertible securities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(155.2)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(225.5)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Net cash position</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(274.5)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(313.6)</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680" w:right="160" w:firstLine="399"/>
        <w:spacing w:after="0" w:line="260" w:lineRule="auto"/>
        <w:rPr>
          <w:sz w:val="20"/>
          <w:szCs w:val="20"/>
          <w:color w:val="auto"/>
        </w:rPr>
      </w:pPr>
      <w:r>
        <w:rPr>
          <w:rFonts w:ascii="Arial" w:cs="Arial" w:eastAsia="Arial" w:hAnsi="Arial"/>
          <w:sz w:val="13"/>
          <w:szCs w:val="13"/>
          <w:color w:val="auto"/>
        </w:rPr>
        <w:t>The increase in our net cash position at December 31, 2010 primarily results from cash flows from operations of $105.6 million, offset by $37.1 million of capital expenditures and $31.3 million of stock repurchases. We believe that our existing cash, future cash expected to be generated from operations, and our remaining $350.0 million of borrowing capacity under our senior secured revolving credit facility, if needed, will satisfy our foreseeable working capital, debt repayment, capital expenditure requirements and potential earn-out payments for at least the next twelve months.</w:t>
      </w:r>
    </w:p>
    <w:p>
      <w:pPr>
        <w:spacing w:after="0" w:line="70" w:lineRule="exact"/>
        <w:rPr>
          <w:sz w:val="20"/>
          <w:szCs w:val="20"/>
          <w:color w:val="auto"/>
        </w:rPr>
      </w:pPr>
    </w:p>
    <w:p>
      <w:pPr>
        <w:jc w:val="both"/>
        <w:ind w:left="680" w:right="80" w:firstLine="399"/>
        <w:spacing w:after="0" w:line="371" w:lineRule="auto"/>
        <w:rPr>
          <w:sz w:val="20"/>
          <w:szCs w:val="20"/>
          <w:color w:val="auto"/>
        </w:rPr>
      </w:pPr>
      <w:r>
        <w:rPr>
          <w:rFonts w:ascii="Arial" w:cs="Arial" w:eastAsia="Arial" w:hAnsi="Arial"/>
          <w:sz w:val="11"/>
          <w:szCs w:val="11"/>
          <w:color w:val="auto"/>
        </w:rPr>
        <w:t>Our non-U.S. subsidiaries hold approximately $97.7 million of cash and cash equivalents that are available for use by all of our operations around the world. However, if these funds were repatriated to the United States or used for United States operations, certain amounts could be subject to United States tax for the incremental amount in excess of the foreign tax paid.</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generated positive operating cash flows of $105.6 million, $143.2 million and $72.6 million in 2010, 2009 and 2008, respectively. Net income for the year ended December 31,</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2010, plus items included in those earnings that did not result in a change to our cash balance, amounted to approximately $131.2 million. Additionally, we paid $6.6 million in accreted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interest related to the repurchase of our 2010 Notes at their maturity. In 2010, the net impact of working capital items on operating cash flows was a decrease of $11.3 million. Increases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both accounts receivable and inventory resulted in a use of cash; however, those increases were due to overall higher sales, and accounts receivable was lower as a percentage of sales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compared to 2009. Additionally, increases in our prepaid expenses and other current assets used $6.5 million of cash. These uses of cash were offset primarily by increases in accounts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payable and accrued expenses. The change in other liabilities is due in part to $4.5 million in reversals of income tax reserves for audits that were concluded during the year. In 2009, changes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 working capital items increased operating cash flows by $30.5 million. In 2009, the reduction in the balance of refundable income taxes provided $11.3 million, improvements in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accounts receivable provided $9.8 million, and reductions in inventory provided another $9.4 million of operating cash flows. In 2008, net income included non-cash charges of $25.2 million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$32.6 million relating to in-process research and development and stock-based compensation, respectively. In 2008, changes in working capital items reduced operating cash flows by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$26.4 million. The 2008 reduction of inventory provided $10.8 million of operating cash flows, which was offset by the payment of income taxes which used $41.2 million and the reduction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other operating liabilities, including those acquired through acquisitions, used $17.3 million.</w:t>
      </w:r>
    </w:p>
    <w:p>
      <w:pPr>
        <w:spacing w:after="0" w:line="8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2011, we anticipate our principal uses of cash to include $100.0 million in repayments under the revolving portion of our credit facility, and between $40 million and $50 million on capital expenditures. Our planned capital spending is expected to increase primarily due to expansion of regenerative medicine manufacturing capacity, upgrades to our enterprise resource planning system, and additions to our instrument kits used in sales of orthopedic products.</w:t>
      </w:r>
    </w:p>
    <w:p>
      <w:pPr>
        <w:spacing w:after="0" w:line="67"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Our principal uses of funds for the year ended December 31, 2010 were $37.1 million in capital expenditures, $31.3 million in repurchases of our common stock, $5.2 million for acquisitions of businesses, and $6.8 million in debt issuance costs. In addition to the $105.6 million in operating cash flows we generated in 2010, our net outstanding borrowings increased by $16.8 million, and we received $16.1 million from the issuance of common stock through the exercise of stock options during the period.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principal uses of funds for the year ended December 31, 2009 were approximately $52.0 million in earnout payments in connection with the Integra Spine acquisition,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$78.0 million in repurchases of the liability component of our 2010 Notes, $100.0 million in repayments on our revolving credit facility, and $27.6 million in capital expenditures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intangible asset purchases. In addition to the $143.2 million in operating cash flows we generated in 2009, we received $6.6 million from the issuance of common stock through the exercise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stock options during the year.</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principal uses of funds for the year ended December 31, 2008 were $119.6 million in repurchases of our 2008 Notes, $86.9 million for acquisition consideration, and</w:t>
      </w:r>
    </w:p>
    <w:p>
      <w:pPr>
        <w:spacing w:after="0" w:line="27" w:lineRule="exact"/>
        <w:rPr>
          <w:sz w:val="20"/>
          <w:szCs w:val="20"/>
          <w:color w:val="auto"/>
        </w:rPr>
      </w:pPr>
    </w:p>
    <w:p>
      <w:pPr>
        <w:jc w:val="both"/>
        <w:ind w:left="680" w:right="140"/>
        <w:spacing w:after="0" w:line="258" w:lineRule="auto"/>
        <w:rPr>
          <w:sz w:val="20"/>
          <w:szCs w:val="20"/>
          <w:color w:val="auto"/>
        </w:rPr>
      </w:pPr>
      <w:r>
        <w:rPr>
          <w:rFonts w:ascii="Arial" w:cs="Arial" w:eastAsia="Arial" w:hAnsi="Arial"/>
          <w:sz w:val="13"/>
          <w:szCs w:val="13"/>
          <w:color w:val="auto"/>
        </w:rPr>
        <w:t>$13.4 million in capital expenditures. In addition to the $72.6 million in operating cash flows we generated in 2008, we borrowed $260.0 million under our revolving credit facility, and we received $11.5 million from the issuance of common stock through the exercise of stock options during the period. We used the borrowings under our revolving credit facility to repay the 2008 Notes, to finance acquisitions and for general corporate purposes.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Working Capital</w:t>
      </w:r>
    </w:p>
    <w:p>
      <w:pPr>
        <w:spacing w:after="0" w:line="96" w:lineRule="exact"/>
        <w:rPr>
          <w:sz w:val="20"/>
          <w:szCs w:val="20"/>
          <w:color w:val="auto"/>
        </w:rPr>
      </w:pPr>
    </w:p>
    <w:p>
      <w:pPr>
        <w:ind w:left="680" w:right="280" w:firstLine="399"/>
        <w:spacing w:after="0" w:line="371" w:lineRule="auto"/>
        <w:rPr>
          <w:sz w:val="20"/>
          <w:szCs w:val="20"/>
          <w:color w:val="auto"/>
        </w:rPr>
      </w:pPr>
      <w:r>
        <w:rPr>
          <w:rFonts w:ascii="Arial" w:cs="Arial" w:eastAsia="Arial" w:hAnsi="Arial"/>
          <w:sz w:val="11"/>
          <w:szCs w:val="11"/>
          <w:color w:val="auto"/>
        </w:rPr>
        <w:t>At December 31, 2010 and 2009, working capital was $244.8 million and $208.6 million, respectively. While we do have increases in accounts receivable, inventory and prepaid expenses and other current assets, most of the $36.2 million increase in working capital is due to increased cash balances offset by an increase in borrowings classified as short-term.</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Convertible Debt and Related Hedging Activities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paid interest each June 1 and December 1 on our $77.9 million 2010 Notes at an annual rate of 2.75% and we repaid the 2010 Notes in full during June 2010 in accordance with the agreement. We also pay interest each June 1 and December 1 on our $165.0 million 2012 Notes at an annual rate of 2.375%.</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2012 Notes are senior, unsecured obligations of Integra, and are convertible into cash and, if applicable, shares of our common stock based on an initial conversion rate, subject to adjustment, of 15.3935 shares per $1,000 principal amount of notes (which represents an initial conversion price of approximately $64.96 per share). We expect to satisfy any conversion of the 2012 Notes with cash up to the principal amount pursuant to the net share settlement mechanism set forth in the indenture and, with respect to any excess conversion value, with shares of our common stock. The 2012 Notes are convertible only in the following circumstances: (1) if the closing sale price of our common stock exceeds 130% of the conversion price during a period as defined in the indenture; (2) if the average trading price per $1,000 principal amount of the 2012 Notes is less than or equal to 97% of the average conversion value of the 2012 Notes during a period as defined in the indenture; (3) at any time after December 15, 2011; or (4) if specified corporate transactions occur.</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2012 Notes, under the terms of the private placement agreement, are guaranteed fully by Integra LifeSciences Corporation, a subsidiary of Integra. The Notes are Integra’s direct senior unsecured obligations and will rank equal in right of payment to all of our existing and future unsecured and unsubordinated indebtedness.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original issuance of the Notes, we entered into call transactions and warrant transactions, primarily with affiliates of the initial purchasers of the Notes (the “hedge participants”), in connection with each series of Notes.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 The calls related to the 2010 Notes expired with the maturity of these notes and the warrants related to the 2010 Notes expire at various times through January 2011.</w:t>
      </w:r>
    </w:p>
    <w:p>
      <w:pPr>
        <w:spacing w:after="0" w:line="71"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initial strike price of the remaining call transactions is approximately $64.96 for the 2012 Notes, subject to anti-dilution adjustments substantially similar to those in the 2012 Notes. The initial strike price of the warrant transactions is (i) for the 2010 Notes, approximately $77.96 per share of Common Stock which expired at various dates through January 2011, and (ii) for the 2012 Notes, approximately $90.95, in each case subject to customary anti-dilution adjustments.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may from time to time seek to retire or purchase additional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70"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We paid interest on our 2008 Notes at an annual rate of 2.5%. Upon maturity of the 2008 Notes, we also paid $1.8 million of contingent interest because our common stock price was greater than $37.56 at thirty days prior to their maturity. Because the market price of our common stock was greater than $37.56 per share, holders of the 2008 Notes were able to convert the notes prior to maturity. In March and April 2008, we repaid the 2008 Notes upon conversion or maturity by issuing approximately 768,000 shares of our common stock and paying $119.6 million in cash. There were no financial covenants associated with the 2008 Notes.</w:t>
      </w:r>
    </w:p>
    <w:p>
      <w:pPr>
        <w:spacing w:after="0" w:line="70"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conjunction with the 2008 Notes, we had previously recognized a deferred tax liability related to the conversion feature of the debt. Due to the repayment of the 2008 Notes, we reversed the remaining balance of the deferred tax liability which resulted in the recognition of a $2.4 million valuation allowance on a deferred tax asset, a $4.8 million increase to current income taxes payable and $11.5 million of additional paid-in capital.</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4, “Debt,” of our consolidated financial statements for additional information.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Amended and Restated Senior Credit Agreement</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December 2005, we established a $200.0 million, five-year, senior secured revolving credit facility. We amended the credit facility in February 2007 to increase the size of the credit facility to $300.0 million, which could be increased to $400.0 million should additional financing be required in the future. During 2010, the Company entered into an amended and restated credit agreement with a syndicate of lending banks (the “Senior Credit Facility”). The Senior Credit Facility increased the size of the Company’s prior revolving credit facility from $300.0 million to $450.0 million, provided for a $150.0 million term loan component and allowed the Company to further increase the size of either the term loan or the revolving credit facility, or a combination thereof, by an aggregate of $150.0 million with additional commitments. The Senior Credit Facility extended the prior revolving credit facility’s maturity date from December 21, 2011 to August 10, 2015 and increased the applicable rates used for borrowings and the annual commitment fee. The Senior Credit Facility is collateralized by substantially all of the assets of the Company’s U.S. subsidiaries, excluding intangible assets.</w:t>
      </w:r>
    </w:p>
    <w:p>
      <w:pPr>
        <w:spacing w:after="0" w:line="7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Amounts borrowed under the Senior Credit Facility bear interest, at the Company’s option, at a rate equal to (i) the Eurodollar Rate (as defined in the Senior Credit Facility) in effect from time to time plus the applicable rate (ranging from 1.75% to 2.5%) or (ii) the highest of (x) the weighted average overnight Federal funds rate, as published by the Federal Reserve Bank of New York, plus 0.5%, (y) the prime lending rate of Bank of America, N.A. or (z) the one-month Eurodollar Rate plus 1.0%. The applicable fixed rates are based on the Company’s consolidated total leverage ratio (defined as the ratio of (a) consolidated funded indebtedness less cash in excess of $40.0 million that is not subject to any restriction on the use or investment thereof to (b) consolidated earnings before interest, taxes, depreciation and amortization) at the time of the applicable borrowing.</w:t>
      </w:r>
    </w:p>
    <w:p>
      <w:pPr>
        <w:spacing w:after="0" w:line="55"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The Company also pays an annual commitment fee (ranging from 0.2% to 0.5%, based on the Company’s consolidated total leverage ratio) on the daily amount by which the revolving credit facility exceeds the outstanding loans and letters of credit under the credit facility.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Senior Credit Facility also modified certain financial and negative covenants. In particular, it:</w:t>
      </w:r>
    </w:p>
    <w:p>
      <w:pPr>
        <w:spacing w:after="0" w:line="96" w:lineRule="exact"/>
        <w:rPr>
          <w:sz w:val="20"/>
          <w:szCs w:val="20"/>
          <w:color w:val="auto"/>
        </w:rPr>
      </w:pPr>
    </w:p>
    <w:p>
      <w:pPr>
        <w:ind w:left="1280" w:right="38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reduced the maximum consolidated total leverage ratio that the Company is permitted to have from 4.50 to 1.00, to either (i) 3.75 to 1.00 during any consecutive four fiscal quarter period ending on or before March 31, 2012 or (ii) 3.5 to 1.00 during any period thereafter,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eliminated the senior secured leverage ratio covenant,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increased the amount of permitted unsecured debt,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provided the Company more ability to repurchase stock and make restricted payments,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provided for capital expenditures in any fiscal year equal to 10% of the revenues during the prior fiscal year, subject to carry over to the next following fiscal year.</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plan to utilize the Senior Credit Facility for working capital, capital expenditures, share repurchases, acquisitions, debt repayments and other general corporate purposes. In 2008, we borrowed an aggregate of $260.0 million against our revolving credit facility, including $120.0 million borrowed in March 2008 to finance the pay down of our 2008 Notes upon their conversion or maturity, $80.0 million borrowed in July 2008 to fund the acquisition of Integra Spine and for other general corporate purposes, and $60.0 million borrowed in October 2008 for general corporate purposes. In June and August 2009, we repaid $60.0 million and $40.0 million, respectively, of our outstanding borrowings. Prior to amending the Senior Credit Facility in 2010, we borrowed $75.0 million under the revolving credit facility in connection with the maturity of our 2010 Notes (defined above) and also repaid $15.0 million of outstanding borrowings. Subsequent to the amendment, we borrowed an additional $30.0 million in October 2010 to repay certain intercompany loans and made the scheduled repayments under our term loan. As a result, we have $248.1 million outstanding under our Senior Credit Facility at December 31, 2010.</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 Plans</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In October 2007, our Board of Directors adopted a program that authorized us to repurchase shares of our common stock for an aggregate purchase price not to exceed $75.0 million through December 31, 2008. On October 30, 2008, our Board of Directors terminated the repurchase authorization it adopted in October 2007 and authorized us to repurchase shares of our common stock for an aggregate purchase price not to exceed $75.0 million through December 31, 2010. We did not repurchase any shares of our common stock in 2008 or 2009 under either of these programs. Prior to October 2010, the Company repurchased approximately 858,000 shares for $31.3 million. On October 29, 2010, our Board of Directors terminated the repurchase authorization it adopted in October 2008 and authorized us to repurchase shares of our common stock for an aggregate purchase price not to exceed $75.0 million through December 31, 2012. Shares may be purchased either in the open market or in privately negotiated transactions. We hold repurchased shares as treasury shares and may use them for general corporate purposes, including acquisitions and for issuance upon exercise of outstanding stock options and stock awards. As of December 31, 2010, there remained $75.0 million available for share repurchases under this latest authorization.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 Policy</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have not paid any cash dividends on our common stock since our formation. Our revolving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the Board of Directors deems relevant.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 and Commitments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2010, we were obligated to pay the following amounts under various agreements: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Less than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117"/>
              <w:spacing w:after="0"/>
              <w:rPr>
                <w:sz w:val="20"/>
                <w:szCs w:val="20"/>
                <w:color w:val="auto"/>
              </w:rPr>
            </w:pPr>
            <w:r>
              <w:rPr>
                <w:rFonts w:ascii="Arial" w:cs="Arial" w:eastAsia="Arial" w:hAnsi="Arial"/>
                <w:sz w:val="10"/>
                <w:szCs w:val="10"/>
                <w:b w:val="1"/>
                <w:bCs w:val="1"/>
                <w:color w:val="auto"/>
              </w:rPr>
              <w:t>1-3</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ind w:right="117"/>
              <w:spacing w:after="0"/>
              <w:rPr>
                <w:sz w:val="20"/>
                <w:szCs w:val="20"/>
                <w:color w:val="auto"/>
              </w:rPr>
            </w:pPr>
            <w:r>
              <w:rPr>
                <w:rFonts w:ascii="Arial" w:cs="Arial" w:eastAsia="Arial" w:hAnsi="Arial"/>
                <w:sz w:val="10"/>
                <w:szCs w:val="10"/>
                <w:b w:val="1"/>
                <w:bCs w:val="1"/>
                <w:color w:val="auto"/>
              </w:rPr>
              <w:t>3-5</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More than</w:t>
            </w: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9"/>
              </w:rPr>
              <w:t>1 Year</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Years</w:t>
            </w:r>
          </w:p>
        </w:tc>
        <w:tc>
          <w:tcPr>
            <w:tcW w:w="80" w:type="dxa"/>
            <w:vAlign w:val="bottom"/>
          </w:tcPr>
          <w:p>
            <w:pPr>
              <w:spacing w:after="0"/>
              <w:rPr>
                <w:sz w:val="10"/>
                <w:szCs w:val="10"/>
                <w:color w:val="auto"/>
              </w:rPr>
            </w:pPr>
          </w:p>
        </w:tc>
        <w:tc>
          <w:tcPr>
            <w:tcW w:w="8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Years</w:t>
            </w:r>
          </w:p>
        </w:tc>
        <w:tc>
          <w:tcPr>
            <w:tcW w:w="8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5 Years</w:t>
            </w: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85"/>
              </w:rPr>
              <w:t>(In 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Convertible Securities(1)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Revolving Credit Facility(2)</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100.0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Term Loan</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148.1</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8.4</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27.2</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Interest(3)</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7.6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Employment Agreements(4)</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Operating Leases</w:t>
            </w:r>
          </w:p>
        </w:tc>
        <w:tc>
          <w:tcPr>
            <w:tcW w:w="1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38.4</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8.2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14.2</w:t>
            </w: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Purchase Obligations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268605</wp:posOffset>
            </wp:positionV>
            <wp:extent cx="82359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00" w:right="40" w:hanging="259"/>
        <w:spacing w:after="0" w:line="307" w:lineRule="auto"/>
        <w:tabs>
          <w:tab w:leader="none" w:pos="10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estimated debt service obligation of the senior convertible securities includes interest expense representing the amortization of the discount on the liability component of the senior convertible notes in accordance with the authoritative guidance. See Note 4, “Debt,” of our consolidated financial statements for additional information.</w:t>
      </w:r>
    </w:p>
    <w:p>
      <w:pPr>
        <w:ind w:left="1000" w:right="220" w:hanging="259"/>
        <w:spacing w:after="0" w:line="276"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Company may borrow and make payments against the credit facility from time to time and considers all of the outstanding amounts to be current based on its current intent and ability to repay the borrowing within the next twelve-month period.</w:t>
      </w:r>
    </w:p>
    <w:p>
      <w:pPr>
        <w:spacing w:after="0" w:line="10" w:lineRule="exact"/>
        <w:rPr>
          <w:rFonts w:ascii="Arial" w:cs="Arial" w:eastAsia="Arial" w:hAnsi="Arial"/>
          <w:sz w:val="13"/>
          <w:szCs w:val="13"/>
          <w:color w:val="auto"/>
        </w:rPr>
      </w:pPr>
    </w:p>
    <w:p>
      <w:pPr>
        <w:ind w:left="1000" w:right="380" w:hanging="259"/>
        <w:spacing w:after="0" w:line="276"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Interest is calculated on the convertible securities and term loan based on current interest rates paid by the Company. As the revolving credit facility can be repaid at any time, no interest has been included in the calculation.</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Amounts shown under Employment Agreements do not include compensation resulting from a change in control.</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Excluded from the contractual obligations table is the liability for uncertain tax benefits, including interest and penalties, totaling $7.6 million. This liability for uncertain tax benefits has been excluded because we cannot make a reliable estimate of the period in which the uncertain tax benefits may be realized.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THE USE OF ESTIMATES</w:t>
      </w:r>
    </w:p>
    <w:p>
      <w:pPr>
        <w:spacing w:after="0" w:line="10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and in-process research and development, amortization periods for acquired intangible assets, estimates of projected cash flows and discount rates used to value intangible assets and in-process research and development charges and test goodwill and intangible assets for impairment, estimates of projected cash flows and depreciation and amortization periods for long-lived assets, computation of taxes, computation of valuation allowances recorded against deferred tax assets valuation of stock-based compensation, valuation of pension assets and liabilities, valuation of derivative instruments and loss contingencies. These estimates are based on historical experience and on various other assumptions that are believed to be reasonable under the current circumstances. Actual results could differ from these estimates.</w:t>
      </w: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believe the following accounting policies, which form the basis for developing these estimates, are those that are most critical to the presentation of our financial statements and require the most difficult, subjective and complex judgments: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Allowances For Doubtful Accounts Receivable and Sales Returns and Allowances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7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sales returns and allowances provision in the future through an increase or decrease in revenues.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Inventories, consisting of purchased materials, direct labor and manufacturing overhead, are stated at the lower of cost (determined by the first-in, first-out method) or market.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of Identifiable Intangible Assets, In-Process Research and Development Charges, and Goodwill</w:t>
      </w:r>
    </w:p>
    <w:p>
      <w:pPr>
        <w:spacing w:after="0" w:line="96"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We allocate the purchase price of acquired businesses and product lines between tangible and intangible assets (including in-process research and development) and goodwill, as applicable. In-process research and development is defined as the value assigned to those acquired technologies or projects for which the related products have not received regulatory approval and have no alternative future use. Determining the portion of the purchase price allocated to in-process research and development and other intangible assets requires us to make significant estimates. We allocate the purchase price to in-process research and development and other identifiable intangible assets by estimating the future cash flows of each project, technology, customer relationship, trade name, or other applicable asset and discounting those net cash flows back to their present values. The discount rate used is determined at the time of acquisition in accordance with accepted valuation methods. For in-process research and development, these methodologies include consideration of the risk of the project not achieving commercial feasibility.</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review goodwill, identifiable intangible assets with indefinite lives and in-process research and development (acquired as part of a business combination after January 1, 2009) for impairment annually, and whenever events or changes indicate that the carrying value of an asset may not be recoverable. These events or circumstances could include a significant change in the business climate, legal factors, operating performance indicators, competition, or sale or disposition of significant assets or products. Application of these impairment tests requires significant judgments, including estimation of future cash flows, which is dependent on internal forecasts,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estimation of the long-term rate of growth for our business, the useful life over which cash flows will occur and determination of our weighted-average cost of capital.</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Changes in the projected cash flows and discount rate estimates and assumptions underlying the valuation of identifiable intangible assets, in-process research and development, and goodwill could materially affect the determination of fair value at acquisition or during subsequent periods when tested for impairment.</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Our definite-lived assets are reviewed for impairment and to ensure their useful lives are appropriate whenever events or changes indicate that the carrying value of the assets may not be recoverable.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and all of our derivatives are designated as hedges.</w:t>
      </w:r>
    </w:p>
    <w:p>
      <w:pPr>
        <w:spacing w:after="0" w:line="7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All derivative instruments are recognized at their fair values as either assets or liabilities on the balance sheet. We determine the fair value of our derivative instruments, using the framework prescribed by the authoritative guidance, by considering the 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 As of December 31, 2010, observable inputs are available for substantially the full term of our derivative instruments.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Since we conduct operations on a global basis, our effective tax rate has and will continue to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either a current or long-term liability in the consolidated balance sheet based on when we expect each of the items to be settled. We record interest and penalties accrued in relation to uncertain tax benefits as a component of income tax expense.</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believe we have identified all reasonably identifiable exposures and the reserve we have established for identifiable exposures is appropriate under the circumstances; however, it is possible that additional exposures exist and that exposures will be settled at amounts different than the amounts reserved. It is also possible that changes in facts and circumstances could cause us to either materially increase or reduce the carrying amount of our tax reserves.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deferred income taxes reflect the net tax effects of temporary differences between the carrying amounts of assets and liabilities for financial reporting purposes and their basis for income tax purposes, and also the temporary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differences created by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policy is to provide income taxes on earnings of certain foreign subsidiaries only to the extent those earnings are taxable or are expected to be remitted.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Loss Contingencies</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are subject to claims and lawsuits in the ordinary course of our business, including claims by employees or former employees,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100"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Exchange and Other Rate Risks</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and Australian dollars. We manage the foreign currency exposure centrally, on a combined basis, which allows us to net exposures and to take advantage of any natural offsets. To mitigate the impact of currency fluctuations on transactions denominated in nonfunctional currencies, from time to time we enter into derivative financial instruments in the form of foreign currency exchange forward contracts with major financial institutions. Realized and unrealized gains and losses on these contracts that qualify as cash flow hedges are temporarily recorded in other comprehensive income, then recognized in other income or expense when the hedged item affects net earnings.</w:t>
      </w:r>
    </w:p>
    <w:p>
      <w:pPr>
        <w:spacing w:after="0" w:line="59"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From time to time, we enter into foreign currency forward exchange contracts with terms of up to 12 months to manage currency exposures for liabilities denominated in a currency other than an entity’s functional currency. As a result, the impact of foreign currency gains/losses recognized in earnings are partially offset by gains/losses on the related foreign currency forward exchange contracts in the same reporting period. There were no foreign currency forward contracts outstanding at December 31, 2010.</w:t>
      </w:r>
    </w:p>
    <w:p>
      <w:pPr>
        <w:spacing w:after="0" w:line="5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and transactions being hedged.</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results of operations for the periods discussed herein have not been materially affected by inflation.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96"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Cash and Cash Equivalents. </w:t>
      </w:r>
      <w:r>
        <w:rPr>
          <w:rFonts w:ascii="Arial" w:cs="Arial" w:eastAsia="Arial" w:hAnsi="Arial"/>
          <w:sz w:val="13"/>
          <w:szCs w:val="13"/>
          <w:color w:val="auto"/>
        </w:rPr>
        <w:t>We are exposed to the risk of interest rate fluctuations on the interest income earned on our cash and cash equivalents. A hypothetical 100 basis point</w:t>
      </w:r>
      <w:r>
        <w:rPr>
          <w:rFonts w:ascii="Arial" w:cs="Arial" w:eastAsia="Arial" w:hAnsi="Arial"/>
          <w:sz w:val="13"/>
          <w:szCs w:val="13"/>
          <w:i w:val="1"/>
          <w:iCs w:val="1"/>
          <w:color w:val="auto"/>
        </w:rPr>
        <w:t xml:space="preserve"> </w:t>
      </w:r>
      <w:r>
        <w:rPr>
          <w:rFonts w:ascii="Arial" w:cs="Arial" w:eastAsia="Arial" w:hAnsi="Arial"/>
          <w:sz w:val="13"/>
          <w:szCs w:val="13"/>
          <w:color w:val="auto"/>
        </w:rPr>
        <w:t>movement in interest rates applicable to our cash and cash equivalents outstanding at December 31, 2010 would increase interest income by approximately $1.3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Senior Credit Facility. </w:t>
      </w:r>
      <w:r>
        <w:rPr>
          <w:rFonts w:ascii="Arial" w:cs="Arial" w:eastAsia="Arial" w:hAnsi="Arial"/>
          <w:sz w:val="13"/>
          <w:szCs w:val="13"/>
          <w:color w:val="auto"/>
        </w:rPr>
        <w:t>Our interest rate risk relates primarily to U.S. dollar LIBOR-indexed borrowings. We have used an interest rate derivative instrument to manage our earnings</w:t>
      </w:r>
      <w:r>
        <w:rPr>
          <w:rFonts w:ascii="Arial" w:cs="Arial" w:eastAsia="Arial" w:hAnsi="Arial"/>
          <w:sz w:val="13"/>
          <w:szCs w:val="13"/>
          <w:i w:val="1"/>
          <w:iCs w:val="1"/>
          <w:color w:val="auto"/>
        </w:rPr>
        <w:t xml:space="preserve"> </w:t>
      </w:r>
      <w:r>
        <w:rPr>
          <w:rFonts w:ascii="Arial" w:cs="Arial" w:eastAsia="Arial" w:hAnsi="Arial"/>
          <w:sz w:val="13"/>
          <w:szCs w:val="13"/>
          <w:color w:val="auto"/>
        </w:rPr>
        <w:t>and cash flow exposure to changes in interest rates by utilizing a forward-starting interest rate swap that will begin to offset a portion of our interest payments in the first quarter of 2011. This interest rate derivative instrument will fix the interest rate on a portion of our expected LIBOR-indexed floating-rate borrowings beginning on December 31, 2010. The interest rate swap had a notional amount of $148.1 million outstanding as of December 31, 2010. We recognized no additional interest expense related to this derivative during 2010. We recorded a $0.3 million liability at December 31, 2010 to recognize the fair value of our interest rate derivative instrument.</w:t>
      </w:r>
    </w:p>
    <w:p>
      <w:pPr>
        <w:spacing w:after="0" w:line="71"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Based on our outstanding borrowings at December 31, 2010, a one-percentage point change in interest rates would have impacted interest expense on the unhedged portion of our debt by $2.5 million on an annualized basis.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Financial statements and the financial statement schedules specified by this Item, together with the report thereon of PricewaterhouseCoopers LLP, are presented following Item 15 of this report.</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Information on quarterly results of operations is set forth in our financial statements under Note 14, “Selected Quarterly Information — Unaudited,” to the Consolidated Financial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72" w:lineRule="exact"/>
        <w:rPr>
          <w:sz w:val="20"/>
          <w:szCs w:val="20"/>
          <w:color w:val="auto"/>
        </w:rPr>
      </w:pPr>
    </w:p>
    <w:p>
      <w:pPr>
        <w:ind w:left="680" w:right="360" w:firstLine="399"/>
        <w:spacing w:after="0" w:line="260" w:lineRule="auto"/>
        <w:rPr>
          <w:sz w:val="20"/>
          <w:szCs w:val="20"/>
          <w:color w:val="auto"/>
        </w:rPr>
      </w:pPr>
      <w:r>
        <w:rPr>
          <w:rFonts w:ascii="Arial" w:cs="Arial" w:eastAsia="Arial" w:hAnsi="Arial"/>
          <w:sz w:val="13"/>
          <w:szCs w:val="13"/>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2010. Based upon this evaluation, our principal executive officer and principal financial officer concluded that our disclosure controls and procedures were effective as of December 31, 2010 to provide such reasonable assurance.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Management is responsible for establishing and maintaining adequate internal control over financial reporting as defined in Rules 13a-15(f) under the Securities Exchange Act of 1934, as amended. Internal control over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0" w:lineRule="auto"/>
        <w:rPr>
          <w:sz w:val="20"/>
          <w:szCs w:val="20"/>
          <w:color w:val="auto"/>
        </w:rPr>
      </w:pPr>
      <w:r>
        <w:rPr>
          <w:rFonts w:ascii="Arial" w:cs="Arial" w:eastAsia="Arial" w:hAnsi="Arial"/>
          <w:sz w:val="13"/>
          <w:szCs w:val="13"/>
          <w:color w:val="auto"/>
        </w:rPr>
        <w:t>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To evaluate the effectiveness of our internal control over financial reporting, management used the criteria described in Internal Control — Integrated Framework issued by the Committee of Sponsoring Organizations of the Treadway Commission (“COSO”). Based upon this evaluation, management concluded that our internal control over financial reporting was effective as of December 31, 2010.</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effectiveness of the Company’s internal control over financial reporting as of December 31, 2010 has been audited by PricewaterhouseCoopers LLP, an independent registered public accounting firm, as stated in their report which appears herein.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There were no changes in our internal control over financial reporting (as defined in Rule 13a-15(f) under the Exchange Act) that occurred during the quarter ended December 31, 2010 that have materially affected, or are reasonably likely to materially affect, our internal control over financial reporting.</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INCORPORATION BY REFERENCE</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17, 2011, which definitive proxy statement is expected to be filed with the Commission not later than 120 days after the end of the fiscal year to which this report relates.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100" w:lineRule="exact"/>
        <w:rPr>
          <w:sz w:val="20"/>
          <w:szCs w:val="20"/>
          <w:color w:val="auto"/>
        </w:rPr>
      </w:pPr>
    </w:p>
    <w:p>
      <w:pPr>
        <w:ind w:left="580" w:hanging="174"/>
        <w:spacing w:after="0"/>
        <w:tabs>
          <w:tab w:leader="none" w:pos="5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Documents filed as a part of this report.</w:t>
      </w:r>
    </w:p>
    <w:p>
      <w:pPr>
        <w:spacing w:after="0" w:line="96" w:lineRule="exact"/>
        <w:rPr>
          <w:rFonts w:ascii="Arial" w:cs="Arial" w:eastAsia="Arial" w:hAnsi="Arial"/>
          <w:sz w:val="13"/>
          <w:szCs w:val="13"/>
          <w:color w:val="auto"/>
        </w:rPr>
      </w:pPr>
    </w:p>
    <w:p>
      <w:pPr>
        <w:ind w:left="340" w:hanging="134"/>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b w:val="1"/>
          <w:bCs w:val="1"/>
          <w:i w:val="1"/>
          <w:iCs w:val="1"/>
          <w:color w:val="auto"/>
        </w:rPr>
        <w:t>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financial statements and financial statement schedules are filed as a part of this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Borders>
              <w:bottom w:val="single" w:sz="8" w:color="0000EE"/>
            </w:tcBorders>
            <w:gridSpan w:val="2"/>
          </w:tcPr>
          <w:p>
            <w:pPr>
              <w:spacing w:after="0"/>
              <w:rPr>
                <w:rFonts w:ascii="Arial" w:cs="Arial" w:eastAsia="Arial" w:hAnsi="Arial"/>
                <w:sz w:val="13"/>
                <w:szCs w:val="13"/>
                <w:color w:val="0000EE"/>
                <w:w w:val="92"/>
              </w:rPr>
            </w:pPr>
            <w:hyperlink w:anchor="page61">
              <w:r>
                <w:rPr>
                  <w:rFonts w:ascii="Arial" w:cs="Arial" w:eastAsia="Arial" w:hAnsi="Arial"/>
                  <w:sz w:val="13"/>
                  <w:szCs w:val="13"/>
                  <w:color w:val="0000EE"/>
                  <w:w w:val="92"/>
                </w:rPr>
                <w:t>Report of Independent Registered Public Accounting Firm</w:t>
              </w:r>
            </w:hyperlink>
          </w:p>
        </w:tc>
        <w:tc>
          <w:tcPr>
            <w:tcW w:w="4820" w:type="dxa"/>
            <w:vAlign w:val="bottom"/>
            <w:gridSpan w:val="5"/>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F-1</w:t>
            </w:r>
          </w:p>
        </w:tc>
      </w:tr>
      <w:tr>
        <w:trPr>
          <w:trHeight w:val="137"/>
        </w:trPr>
        <w:tc>
          <w:tcPr>
            <w:tcW w:w="5000" w:type="dxa"/>
            <w:vAlign w:val="bottom"/>
            <w:tcBorders>
              <w:bottom w:val="single" w:sz="8" w:color="0000EE"/>
            </w:tcBorders>
            <w:gridSpan w:val="4"/>
          </w:tcPr>
          <w:p>
            <w:pPr>
              <w:spacing w:after="0" w:line="138" w:lineRule="exact"/>
              <w:rPr>
                <w:rFonts w:ascii="Arial" w:cs="Arial" w:eastAsia="Arial" w:hAnsi="Arial"/>
                <w:sz w:val="13"/>
                <w:szCs w:val="13"/>
                <w:color w:val="0000EE"/>
                <w:w w:val="89"/>
              </w:rPr>
            </w:pPr>
            <w:hyperlink w:anchor="page62">
              <w:r>
                <w:rPr>
                  <w:rFonts w:ascii="Arial" w:cs="Arial" w:eastAsia="Arial" w:hAnsi="Arial"/>
                  <w:sz w:val="13"/>
                  <w:szCs w:val="13"/>
                  <w:color w:val="0000EE"/>
                  <w:w w:val="89"/>
                </w:rPr>
                <w:t>Consolidated Statements of Operations for the years ended December 31, 2010, 2009 and 2008</w:t>
              </w:r>
            </w:hyperlink>
          </w:p>
        </w:tc>
        <w:tc>
          <w:tcPr>
            <w:tcW w:w="2900" w:type="dxa"/>
            <w:vAlign w:val="bottom"/>
            <w:gridSpan w:val="3"/>
          </w:tcPr>
          <w:p>
            <w:pPr>
              <w:spacing w:after="0"/>
              <w:rPr>
                <w:sz w:val="11"/>
                <w:szCs w:val="11"/>
                <w:color w:val="auto"/>
              </w:rPr>
            </w:pPr>
          </w:p>
        </w:tc>
        <w:tc>
          <w:tcPr>
            <w:tcW w:w="1980" w:type="dxa"/>
            <w:vAlign w:val="bottom"/>
          </w:tcPr>
          <w:p>
            <w:pPr>
              <w:jc w:val="right"/>
              <w:spacing w:after="0" w:line="138" w:lineRule="exact"/>
              <w:rPr>
                <w:sz w:val="20"/>
                <w:szCs w:val="20"/>
                <w:color w:val="auto"/>
              </w:rPr>
            </w:pPr>
            <w:r>
              <w:rPr>
                <w:rFonts w:ascii="Arial" w:cs="Arial" w:eastAsia="Arial" w:hAnsi="Arial"/>
                <w:sz w:val="13"/>
                <w:szCs w:val="13"/>
                <w:color w:val="auto"/>
              </w:rPr>
              <w:t>F-2</w:t>
            </w:r>
          </w:p>
        </w:tc>
      </w:tr>
      <w:tr>
        <w:trPr>
          <w:trHeight w:val="137"/>
        </w:trPr>
        <w:tc>
          <w:tcPr>
            <w:tcW w:w="340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63">
              <w:r>
                <w:rPr>
                  <w:rFonts w:ascii="Arial" w:cs="Arial" w:eastAsia="Arial" w:hAnsi="Arial"/>
                  <w:sz w:val="13"/>
                  <w:szCs w:val="13"/>
                  <w:color w:val="0000EE"/>
                  <w:w w:val="89"/>
                </w:rPr>
                <w:t>Consolidated Balance Sheets as of December 31, 2010 and 2009</w:t>
              </w:r>
            </w:hyperlink>
          </w:p>
        </w:tc>
        <w:tc>
          <w:tcPr>
            <w:tcW w:w="4500" w:type="dxa"/>
            <w:vAlign w:val="bottom"/>
            <w:gridSpan w:val="4"/>
          </w:tcPr>
          <w:p>
            <w:pPr>
              <w:spacing w:after="0"/>
              <w:rPr>
                <w:sz w:val="11"/>
                <w:szCs w:val="11"/>
                <w:color w:val="auto"/>
              </w:rPr>
            </w:pPr>
          </w:p>
        </w:tc>
        <w:tc>
          <w:tcPr>
            <w:tcW w:w="1980" w:type="dxa"/>
            <w:vAlign w:val="bottom"/>
          </w:tcPr>
          <w:p>
            <w:pPr>
              <w:jc w:val="right"/>
              <w:spacing w:after="0" w:line="138" w:lineRule="exact"/>
              <w:rPr>
                <w:sz w:val="20"/>
                <w:szCs w:val="20"/>
                <w:color w:val="auto"/>
              </w:rPr>
            </w:pPr>
            <w:r>
              <w:rPr>
                <w:rFonts w:ascii="Arial" w:cs="Arial" w:eastAsia="Arial" w:hAnsi="Arial"/>
                <w:sz w:val="13"/>
                <w:szCs w:val="13"/>
                <w:color w:val="auto"/>
              </w:rPr>
              <w:t>F-3</w:t>
            </w:r>
          </w:p>
        </w:tc>
      </w:tr>
      <w:tr>
        <w:trPr>
          <w:trHeight w:val="137"/>
        </w:trPr>
        <w:tc>
          <w:tcPr>
            <w:tcW w:w="504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64">
              <w:r>
                <w:rPr>
                  <w:rFonts w:ascii="Arial" w:cs="Arial" w:eastAsia="Arial" w:hAnsi="Arial"/>
                  <w:sz w:val="13"/>
                  <w:szCs w:val="13"/>
                  <w:color w:val="0000EE"/>
                  <w:w w:val="89"/>
                </w:rPr>
                <w:t>Consolidated Statements of Cash Flows for the years ended December 31, 2010, 2009 and 2008</w:t>
              </w:r>
            </w:hyperlink>
          </w:p>
        </w:tc>
        <w:tc>
          <w:tcPr>
            <w:tcW w:w="2860" w:type="dxa"/>
            <w:vAlign w:val="bottom"/>
            <w:gridSpan w:val="2"/>
          </w:tcPr>
          <w:p>
            <w:pPr>
              <w:spacing w:after="0"/>
              <w:rPr>
                <w:sz w:val="11"/>
                <w:szCs w:val="11"/>
                <w:color w:val="auto"/>
              </w:rPr>
            </w:pPr>
          </w:p>
        </w:tc>
        <w:tc>
          <w:tcPr>
            <w:tcW w:w="1980" w:type="dxa"/>
            <w:vAlign w:val="bottom"/>
          </w:tcPr>
          <w:p>
            <w:pPr>
              <w:jc w:val="right"/>
              <w:spacing w:after="0" w:line="138" w:lineRule="exact"/>
              <w:rPr>
                <w:sz w:val="20"/>
                <w:szCs w:val="20"/>
                <w:color w:val="auto"/>
              </w:rPr>
            </w:pPr>
            <w:r>
              <w:rPr>
                <w:rFonts w:ascii="Arial" w:cs="Arial" w:eastAsia="Arial" w:hAnsi="Arial"/>
                <w:sz w:val="13"/>
                <w:szCs w:val="13"/>
                <w:color w:val="auto"/>
              </w:rPr>
              <w:t>F-4</w:t>
            </w:r>
          </w:p>
        </w:tc>
      </w:tr>
      <w:tr>
        <w:trPr>
          <w:trHeight w:val="137"/>
        </w:trPr>
        <w:tc>
          <w:tcPr>
            <w:tcW w:w="7900" w:type="dxa"/>
            <w:vAlign w:val="bottom"/>
            <w:gridSpan w:val="7"/>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Consolidated Statements of Changes in Stockholders’ Equity for the years ended December 31, 2010, 2009 and 2008</w:t>
              </w:r>
            </w:hyperlink>
          </w:p>
        </w:tc>
        <w:tc>
          <w:tcPr>
            <w:tcW w:w="1980" w:type="dxa"/>
            <w:vAlign w:val="bottom"/>
          </w:tcPr>
          <w:p>
            <w:pPr>
              <w:jc w:val="right"/>
              <w:spacing w:after="0" w:line="138" w:lineRule="exact"/>
              <w:rPr>
                <w:sz w:val="20"/>
                <w:szCs w:val="20"/>
                <w:color w:val="auto"/>
              </w:rPr>
            </w:pPr>
            <w:r>
              <w:rPr>
                <w:rFonts w:ascii="Arial" w:cs="Arial" w:eastAsia="Arial" w:hAnsi="Arial"/>
                <w:sz w:val="13"/>
                <w:szCs w:val="13"/>
                <w:color w:val="auto"/>
              </w:rPr>
              <w:t>F-5</w:t>
            </w:r>
          </w:p>
        </w:tc>
      </w:tr>
      <w:tr>
        <w:trPr>
          <w:trHeight w:val="137"/>
        </w:trPr>
        <w:tc>
          <w:tcPr>
            <w:tcW w:w="614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Notes to Consolidated Financial Statements</w:t>
              </w:r>
            </w:hyperlink>
          </w:p>
        </w:tc>
        <w:tc>
          <w:tcPr>
            <w:tcW w:w="1760" w:type="dxa"/>
            <w:vAlign w:val="bottom"/>
          </w:tcPr>
          <w:p>
            <w:pPr>
              <w:spacing w:after="0"/>
              <w:rPr>
                <w:sz w:val="11"/>
                <w:szCs w:val="11"/>
                <w:color w:val="auto"/>
              </w:rPr>
            </w:pPr>
          </w:p>
        </w:tc>
        <w:tc>
          <w:tcPr>
            <w:tcW w:w="1980" w:type="dxa"/>
            <w:vAlign w:val="bottom"/>
          </w:tcPr>
          <w:p>
            <w:pPr>
              <w:jc w:val="right"/>
              <w:spacing w:after="0" w:line="138" w:lineRule="exact"/>
              <w:rPr>
                <w:sz w:val="20"/>
                <w:szCs w:val="20"/>
                <w:color w:val="auto"/>
              </w:rPr>
            </w:pPr>
            <w:r>
              <w:rPr>
                <w:rFonts w:ascii="Arial" w:cs="Arial" w:eastAsia="Arial" w:hAnsi="Arial"/>
                <w:sz w:val="13"/>
                <w:szCs w:val="13"/>
                <w:color w:val="auto"/>
              </w:rPr>
              <w:t>F-6</w:t>
            </w:r>
          </w:p>
        </w:tc>
      </w:tr>
      <w:tr>
        <w:trPr>
          <w:trHeight w:val="264"/>
        </w:trPr>
        <w:tc>
          <w:tcPr>
            <w:tcW w:w="2300" w:type="dxa"/>
            <w:vAlign w:val="bottom"/>
            <w:tcBorders>
              <w:top w:val="single" w:sz="8" w:color="0000EE"/>
            </w:tcBorders>
          </w:tcPr>
          <w:p>
            <w:pPr>
              <w:ind w:left="14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b w:val="1"/>
                <w:bCs w:val="1"/>
                <w:i w:val="1"/>
                <w:iCs w:val="1"/>
                <w:color w:val="auto"/>
              </w:rPr>
              <w:t>Financial Statement Schedules.</w:t>
            </w:r>
          </w:p>
        </w:tc>
        <w:tc>
          <w:tcPr>
            <w:tcW w:w="5600" w:type="dxa"/>
            <w:vAlign w:val="bottom"/>
            <w:gridSpan w:val="6"/>
          </w:tcPr>
          <w:p>
            <w:pPr>
              <w:spacing w:after="0"/>
              <w:rPr>
                <w:sz w:val="22"/>
                <w:szCs w:val="22"/>
                <w:color w:val="auto"/>
              </w:rPr>
            </w:pPr>
          </w:p>
        </w:tc>
        <w:tc>
          <w:tcPr>
            <w:tcW w:w="1980" w:type="dxa"/>
            <w:vAlign w:val="bottom"/>
          </w:tcPr>
          <w:p>
            <w:pPr>
              <w:spacing w:after="0"/>
              <w:rPr>
                <w:sz w:val="22"/>
                <w:szCs w:val="22"/>
                <w:color w:val="auto"/>
              </w:rPr>
            </w:pPr>
          </w:p>
        </w:tc>
      </w:tr>
      <w:tr>
        <w:trPr>
          <w:trHeight w:val="256"/>
        </w:trPr>
        <w:tc>
          <w:tcPr>
            <w:tcW w:w="7900" w:type="dxa"/>
            <w:vAlign w:val="bottom"/>
            <w:gridSpan w:val="7"/>
          </w:tcPr>
          <w:p>
            <w:pPr>
              <w:spacing w:after="0"/>
              <w:rPr>
                <w:sz w:val="20"/>
                <w:szCs w:val="20"/>
                <w:color w:val="auto"/>
              </w:rPr>
            </w:pPr>
            <w:r>
              <w:rPr>
                <w:rFonts w:ascii="Arial" w:cs="Arial" w:eastAsia="Arial" w:hAnsi="Arial"/>
                <w:sz w:val="13"/>
                <w:szCs w:val="13"/>
                <w:color w:val="auto"/>
              </w:rPr>
              <w:t>Schedule II — Valuation and Qualifying Accounts</w:t>
            </w:r>
          </w:p>
        </w:tc>
        <w:tc>
          <w:tcPr>
            <w:tcW w:w="1980" w:type="dxa"/>
            <w:vAlign w:val="bottom"/>
          </w:tcPr>
          <w:p>
            <w:pPr>
              <w:jc w:val="right"/>
              <w:spacing w:after="0"/>
              <w:rPr>
                <w:sz w:val="20"/>
                <w:szCs w:val="20"/>
                <w:color w:val="auto"/>
              </w:rPr>
            </w:pPr>
            <w:r>
              <w:rPr>
                <w:rFonts w:ascii="Arial" w:cs="Arial" w:eastAsia="Arial" w:hAnsi="Arial"/>
                <w:sz w:val="13"/>
                <w:szCs w:val="13"/>
                <w:color w:val="auto"/>
              </w:rPr>
              <w:t>F-37</w:t>
            </w:r>
          </w:p>
        </w:tc>
      </w:tr>
    </w:tbl>
    <w:p>
      <w:pPr>
        <w:spacing w:after="0" w:line="81" w:lineRule="exact"/>
        <w:rPr>
          <w:sz w:val="20"/>
          <w:szCs w:val="20"/>
          <w:color w:val="auto"/>
        </w:rPr>
      </w:pPr>
    </w:p>
    <w:p>
      <w:pPr>
        <w:ind w:right="440" w:firstLine="399"/>
        <w:spacing w:after="0" w:line="276" w:lineRule="auto"/>
        <w:rPr>
          <w:sz w:val="20"/>
          <w:szCs w:val="20"/>
          <w:color w:val="auto"/>
        </w:rPr>
      </w:pPr>
      <w:r>
        <w:rPr>
          <w:rFonts w:ascii="Arial" w:cs="Arial" w:eastAsia="Arial" w:hAnsi="Arial"/>
          <w:sz w:val="13"/>
          <w:szCs w:val="13"/>
          <w:color w:val="auto"/>
        </w:rPr>
        <w:t>All other schedules not listed above have been omitted, because they are not applicable or are not required, or because the required information is included in the consolidated financial statements or notes thereto.</w:t>
      </w:r>
    </w:p>
    <w:p>
      <w:pPr>
        <w:spacing w:after="0" w:line="59" w:lineRule="exact"/>
        <w:rPr>
          <w:sz w:val="20"/>
          <w:szCs w:val="20"/>
          <w:color w:val="auto"/>
        </w:rPr>
      </w:pPr>
    </w:p>
    <w:p>
      <w:pPr>
        <w:ind w:left="340" w:hanging="134"/>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b w:val="1"/>
          <w:bCs w:val="1"/>
          <w:i w:val="1"/>
          <w:iCs w:val="1"/>
          <w:color w:val="auto"/>
        </w:rPr>
        <w:t>Exhibits required to be filed by Item 601 of Regulation S-K.</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3.1(a)</w:t>
            </w:r>
          </w:p>
        </w:tc>
        <w:tc>
          <w:tcPr>
            <w:tcW w:w="9260" w:type="dxa"/>
            <w:vAlign w:val="bottom"/>
          </w:tcPr>
          <w:p>
            <w:pPr>
              <w:ind w:left="380"/>
              <w:spacing w:after="0"/>
              <w:rPr>
                <w:sz w:val="20"/>
                <w:szCs w:val="20"/>
                <w:color w:val="auto"/>
              </w:rPr>
            </w:pPr>
            <w:r>
              <w:rPr>
                <w:rFonts w:ascii="Arial" w:cs="Arial" w:eastAsia="Arial" w:hAnsi="Arial"/>
                <w:sz w:val="13"/>
                <w:szCs w:val="13"/>
                <w:color w:val="auto"/>
                <w:w w:val="92"/>
              </w:rPr>
              <w:t>Amended and Restated Certificate of Incorporation of the Company (Incorporated by reference to Exhibit 3.1(a) to the Company’s Annual Report on Form 10-K for the</w:t>
            </w:r>
          </w:p>
        </w:tc>
      </w:tr>
      <w:tr>
        <w:trPr>
          <w:trHeight w:val="157"/>
        </w:trPr>
        <w:tc>
          <w:tcPr>
            <w:tcW w:w="720" w:type="dxa"/>
            <w:vAlign w:val="bottom"/>
          </w:tcPr>
          <w:p>
            <w:pPr>
              <w:spacing w:after="0"/>
              <w:rPr>
                <w:sz w:val="13"/>
                <w:szCs w:val="13"/>
                <w:color w:val="auto"/>
              </w:rPr>
            </w:pPr>
          </w:p>
        </w:tc>
        <w:tc>
          <w:tcPr>
            <w:tcW w:w="9260" w:type="dxa"/>
            <w:vAlign w:val="bottom"/>
          </w:tcPr>
          <w:p>
            <w:pPr>
              <w:ind w:left="380"/>
              <w:spacing w:after="0"/>
              <w:rPr>
                <w:sz w:val="20"/>
                <w:szCs w:val="20"/>
                <w:color w:val="auto"/>
              </w:rPr>
            </w:pPr>
            <w:r>
              <w:rPr>
                <w:rFonts w:ascii="Arial" w:cs="Arial" w:eastAsia="Arial" w:hAnsi="Arial"/>
                <w:sz w:val="13"/>
                <w:szCs w:val="13"/>
                <w:color w:val="auto"/>
              </w:rPr>
              <w:t>year ended December 31, 2005)</w:t>
            </w: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3.1(b)</w:t>
            </w:r>
          </w:p>
        </w:tc>
        <w:tc>
          <w:tcPr>
            <w:tcW w:w="9260" w:type="dxa"/>
            <w:vAlign w:val="bottom"/>
          </w:tcPr>
          <w:p>
            <w:pPr>
              <w:ind w:left="380"/>
              <w:spacing w:after="0"/>
              <w:rPr>
                <w:sz w:val="20"/>
                <w:szCs w:val="20"/>
                <w:color w:val="auto"/>
              </w:rPr>
            </w:pPr>
            <w:r>
              <w:rPr>
                <w:rFonts w:ascii="Arial" w:cs="Arial" w:eastAsia="Arial" w:hAnsi="Arial"/>
                <w:sz w:val="13"/>
                <w:szCs w:val="13"/>
                <w:color w:val="auto"/>
                <w:w w:val="95"/>
              </w:rPr>
              <w:t>Certificate of Amendment to Amended and Restated Certificate of Incorporation dated May 22, 1998 (Incorporated by reference to Exhibit 3.1(b) to the Company’s</w:t>
            </w:r>
          </w:p>
        </w:tc>
      </w:tr>
      <w:tr>
        <w:trPr>
          <w:trHeight w:val="157"/>
        </w:trPr>
        <w:tc>
          <w:tcPr>
            <w:tcW w:w="720" w:type="dxa"/>
            <w:vAlign w:val="bottom"/>
          </w:tcPr>
          <w:p>
            <w:pPr>
              <w:spacing w:after="0"/>
              <w:rPr>
                <w:sz w:val="13"/>
                <w:szCs w:val="13"/>
                <w:color w:val="auto"/>
              </w:rPr>
            </w:pPr>
          </w:p>
        </w:tc>
        <w:tc>
          <w:tcPr>
            <w:tcW w:w="9260" w:type="dxa"/>
            <w:vAlign w:val="bottom"/>
          </w:tcPr>
          <w:p>
            <w:pPr>
              <w:ind w:left="380"/>
              <w:spacing w:after="0"/>
              <w:rPr>
                <w:sz w:val="20"/>
                <w:szCs w:val="20"/>
                <w:color w:val="auto"/>
              </w:rPr>
            </w:pPr>
            <w:r>
              <w:rPr>
                <w:rFonts w:ascii="Arial" w:cs="Arial" w:eastAsia="Arial" w:hAnsi="Arial"/>
                <w:sz w:val="13"/>
                <w:szCs w:val="13"/>
                <w:color w:val="auto"/>
              </w:rPr>
              <w:t>Annual Report on Form 10-K for the year ended December 31, 1998)</w:t>
            </w: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3.1(c)</w:t>
            </w:r>
          </w:p>
        </w:tc>
        <w:tc>
          <w:tcPr>
            <w:tcW w:w="9260" w:type="dxa"/>
            <w:vAlign w:val="bottom"/>
          </w:tcPr>
          <w:p>
            <w:pPr>
              <w:ind w:left="380"/>
              <w:spacing w:after="0"/>
              <w:rPr>
                <w:sz w:val="20"/>
                <w:szCs w:val="20"/>
                <w:color w:val="auto"/>
              </w:rPr>
            </w:pPr>
            <w:r>
              <w:rPr>
                <w:rFonts w:ascii="Arial" w:cs="Arial" w:eastAsia="Arial" w:hAnsi="Arial"/>
                <w:sz w:val="13"/>
                <w:szCs w:val="13"/>
                <w:color w:val="auto"/>
                <w:w w:val="95"/>
              </w:rPr>
              <w:t>Certificate of Amendment to Amended and Restated Certificate of Incorporation dated May 17, 1999 (Incorporated by reference to Exhibit 3.1(c) to the Company’s</w:t>
            </w:r>
          </w:p>
        </w:tc>
      </w:tr>
      <w:tr>
        <w:trPr>
          <w:trHeight w:val="157"/>
        </w:trPr>
        <w:tc>
          <w:tcPr>
            <w:tcW w:w="720" w:type="dxa"/>
            <w:vAlign w:val="bottom"/>
          </w:tcPr>
          <w:p>
            <w:pPr>
              <w:spacing w:after="0"/>
              <w:rPr>
                <w:sz w:val="13"/>
                <w:szCs w:val="13"/>
                <w:color w:val="auto"/>
              </w:rPr>
            </w:pPr>
          </w:p>
        </w:tc>
        <w:tc>
          <w:tcPr>
            <w:tcW w:w="9260" w:type="dxa"/>
            <w:vAlign w:val="bottom"/>
          </w:tcPr>
          <w:p>
            <w:pPr>
              <w:ind w:left="380"/>
              <w:spacing w:after="0"/>
              <w:rPr>
                <w:sz w:val="20"/>
                <w:szCs w:val="20"/>
                <w:color w:val="auto"/>
              </w:rPr>
            </w:pPr>
            <w:r>
              <w:rPr>
                <w:rFonts w:ascii="Arial" w:cs="Arial" w:eastAsia="Arial" w:hAnsi="Arial"/>
                <w:sz w:val="13"/>
                <w:szCs w:val="13"/>
                <w:color w:val="auto"/>
              </w:rPr>
              <w:t>Annual Report on Form 10-K for the year ended December 31, 2004)</w:t>
            </w: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3.2(a)</w:t>
            </w:r>
          </w:p>
        </w:tc>
        <w:tc>
          <w:tcPr>
            <w:tcW w:w="9260" w:type="dxa"/>
            <w:vAlign w:val="bottom"/>
          </w:tcPr>
          <w:p>
            <w:pPr>
              <w:ind w:left="380"/>
              <w:spacing w:after="0"/>
              <w:rPr>
                <w:sz w:val="20"/>
                <w:szCs w:val="20"/>
                <w:color w:val="auto"/>
              </w:rPr>
            </w:pPr>
            <w:r>
              <w:rPr>
                <w:rFonts w:ascii="Arial" w:cs="Arial" w:eastAsia="Arial" w:hAnsi="Arial"/>
                <w:sz w:val="13"/>
                <w:szCs w:val="13"/>
                <w:color w:val="auto"/>
                <w:w w:val="93"/>
              </w:rPr>
              <w:t>Amended and Restated By-laws of the Company (Incorporated by reference to Exhibit 3.1 to the Company’s Current Report on Form 8-K filed on November 3, 2006)</w:t>
            </w: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3.2(b)</w:t>
            </w:r>
          </w:p>
        </w:tc>
        <w:tc>
          <w:tcPr>
            <w:tcW w:w="9260" w:type="dxa"/>
            <w:vAlign w:val="bottom"/>
          </w:tcPr>
          <w:p>
            <w:pPr>
              <w:ind w:left="380"/>
              <w:spacing w:after="0"/>
              <w:rPr>
                <w:sz w:val="20"/>
                <w:szCs w:val="20"/>
                <w:color w:val="auto"/>
              </w:rPr>
            </w:pPr>
            <w:r>
              <w:rPr>
                <w:rFonts w:ascii="Arial" w:cs="Arial" w:eastAsia="Arial" w:hAnsi="Arial"/>
                <w:sz w:val="13"/>
                <w:szCs w:val="13"/>
                <w:color w:val="auto"/>
                <w:w w:val="93"/>
              </w:rPr>
              <w:t>Amended and Restated By-laws of the Company (Incorporated by reference to Exhibit 3.2 to the Company’s Current Report on Form 8-K filed on November 3, 2009)</w:t>
            </w: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4.1</w:t>
            </w:r>
          </w:p>
        </w:tc>
        <w:tc>
          <w:tcPr>
            <w:tcW w:w="9260" w:type="dxa"/>
            <w:vAlign w:val="bottom"/>
          </w:tcPr>
          <w:p>
            <w:pPr>
              <w:ind w:left="380"/>
              <w:spacing w:after="0"/>
              <w:rPr>
                <w:sz w:val="20"/>
                <w:szCs w:val="20"/>
                <w:color w:val="auto"/>
              </w:rPr>
            </w:pPr>
            <w:r>
              <w:rPr>
                <w:rFonts w:ascii="Arial" w:cs="Arial" w:eastAsia="Arial" w:hAnsi="Arial"/>
                <w:sz w:val="13"/>
                <w:szCs w:val="13"/>
                <w:color w:val="auto"/>
                <w:w w:val="93"/>
              </w:rPr>
              <w:t>Indenture, dated as of March 31, 2003, between the Company and Wells Fargo Bank Minnesota, National Association (Incorporated by reference to Exhibit 4.1 to the</w:t>
            </w:r>
          </w:p>
        </w:tc>
      </w:tr>
      <w:tr>
        <w:trPr>
          <w:trHeight w:val="157"/>
        </w:trPr>
        <w:tc>
          <w:tcPr>
            <w:tcW w:w="720" w:type="dxa"/>
            <w:vAlign w:val="bottom"/>
          </w:tcPr>
          <w:p>
            <w:pPr>
              <w:spacing w:after="0"/>
              <w:rPr>
                <w:sz w:val="13"/>
                <w:szCs w:val="13"/>
                <w:color w:val="auto"/>
              </w:rPr>
            </w:pPr>
          </w:p>
        </w:tc>
        <w:tc>
          <w:tcPr>
            <w:tcW w:w="9260" w:type="dxa"/>
            <w:vAlign w:val="bottom"/>
          </w:tcPr>
          <w:p>
            <w:pPr>
              <w:ind w:left="380"/>
              <w:spacing w:after="0"/>
              <w:rPr>
                <w:sz w:val="20"/>
                <w:szCs w:val="20"/>
                <w:color w:val="auto"/>
              </w:rPr>
            </w:pPr>
            <w:r>
              <w:rPr>
                <w:rFonts w:ascii="Arial" w:cs="Arial" w:eastAsia="Arial" w:hAnsi="Arial"/>
                <w:sz w:val="13"/>
                <w:szCs w:val="13"/>
                <w:color w:val="auto"/>
              </w:rPr>
              <w:t>Company’s Quarterly Report on Form 10-Q for the quarter ended March 31, 2003)</w:t>
            </w: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4.2</w:t>
            </w:r>
          </w:p>
        </w:tc>
        <w:tc>
          <w:tcPr>
            <w:tcW w:w="9260" w:type="dxa"/>
            <w:vAlign w:val="bottom"/>
          </w:tcPr>
          <w:p>
            <w:pPr>
              <w:ind w:left="380"/>
              <w:spacing w:after="0"/>
              <w:rPr>
                <w:sz w:val="20"/>
                <w:szCs w:val="20"/>
                <w:color w:val="auto"/>
              </w:rPr>
            </w:pPr>
            <w:r>
              <w:rPr>
                <w:rFonts w:ascii="Arial" w:cs="Arial" w:eastAsia="Arial" w:hAnsi="Arial"/>
                <w:sz w:val="13"/>
                <w:szCs w:val="13"/>
                <w:color w:val="auto"/>
                <w:w w:val="94"/>
              </w:rPr>
              <w:t>Registration Rights Agreement, dated as of March 31, 2003, between the Company and Credit Suisse First Boston, LLC, Banc of America Securities LLC and U.S.</w:t>
            </w:r>
          </w:p>
        </w:tc>
      </w:tr>
      <w:tr>
        <w:trPr>
          <w:trHeight w:val="157"/>
        </w:trPr>
        <w:tc>
          <w:tcPr>
            <w:tcW w:w="720" w:type="dxa"/>
            <w:vAlign w:val="bottom"/>
          </w:tcPr>
          <w:p>
            <w:pPr>
              <w:spacing w:after="0"/>
              <w:rPr>
                <w:sz w:val="13"/>
                <w:szCs w:val="13"/>
                <w:color w:val="auto"/>
              </w:rPr>
            </w:pPr>
          </w:p>
        </w:tc>
        <w:tc>
          <w:tcPr>
            <w:tcW w:w="9260" w:type="dxa"/>
            <w:vAlign w:val="bottom"/>
          </w:tcPr>
          <w:p>
            <w:pPr>
              <w:ind w:left="380"/>
              <w:spacing w:after="0"/>
              <w:rPr>
                <w:sz w:val="20"/>
                <w:szCs w:val="20"/>
                <w:color w:val="auto"/>
              </w:rPr>
            </w:pPr>
            <w:r>
              <w:rPr>
                <w:rFonts w:ascii="Arial" w:cs="Arial" w:eastAsia="Arial" w:hAnsi="Arial"/>
                <w:sz w:val="13"/>
                <w:szCs w:val="13"/>
                <w:color w:val="auto"/>
                <w:w w:val="96"/>
              </w:rPr>
              <w:t>Bancorp Piper Jaffray Inc. (Incorporated by reference to Exhibit 4.3 to the Company’s Registration Statement on Form S-3 filed on June 30, 2003 (File No. 333-</w:t>
            </w:r>
          </w:p>
        </w:tc>
      </w:tr>
      <w:tr>
        <w:trPr>
          <w:trHeight w:val="157"/>
        </w:trPr>
        <w:tc>
          <w:tcPr>
            <w:tcW w:w="720" w:type="dxa"/>
            <w:vAlign w:val="bottom"/>
          </w:tcPr>
          <w:p>
            <w:pPr>
              <w:spacing w:after="0"/>
              <w:rPr>
                <w:sz w:val="13"/>
                <w:szCs w:val="13"/>
                <w:color w:val="auto"/>
              </w:rPr>
            </w:pPr>
          </w:p>
        </w:tc>
        <w:tc>
          <w:tcPr>
            <w:tcW w:w="9260" w:type="dxa"/>
            <w:vAlign w:val="bottom"/>
          </w:tcPr>
          <w:p>
            <w:pPr>
              <w:ind w:left="380"/>
              <w:spacing w:after="0"/>
              <w:rPr>
                <w:sz w:val="20"/>
                <w:szCs w:val="20"/>
                <w:color w:val="auto"/>
              </w:rPr>
            </w:pPr>
            <w:r>
              <w:rPr>
                <w:rFonts w:ascii="Arial" w:cs="Arial" w:eastAsia="Arial" w:hAnsi="Arial"/>
                <w:sz w:val="13"/>
                <w:szCs w:val="13"/>
                <w:color w:val="auto"/>
              </w:rPr>
              <w:t>106625))</w:t>
            </w: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4.3(a)</w:t>
            </w:r>
          </w:p>
        </w:tc>
        <w:tc>
          <w:tcPr>
            <w:tcW w:w="9260" w:type="dxa"/>
            <w:vAlign w:val="bottom"/>
          </w:tcPr>
          <w:p>
            <w:pPr>
              <w:ind w:left="380"/>
              <w:spacing w:after="0"/>
              <w:rPr>
                <w:sz w:val="20"/>
                <w:szCs w:val="20"/>
                <w:color w:val="auto"/>
              </w:rPr>
            </w:pPr>
            <w:r>
              <w:rPr>
                <w:rFonts w:ascii="Arial" w:cs="Arial" w:eastAsia="Arial" w:hAnsi="Arial"/>
                <w:sz w:val="13"/>
                <w:szCs w:val="13"/>
                <w:color w:val="auto"/>
                <w:w w:val="99"/>
              </w:rPr>
              <w:t>Credit Agreement, dated as of December 22, 2005, among Integra LifeSciences Holdings Corporation, the lenders party thereto, Bank of America, N.A., as</w:t>
            </w:r>
          </w:p>
        </w:tc>
      </w:tr>
      <w:tr>
        <w:trPr>
          <w:trHeight w:val="157"/>
        </w:trPr>
        <w:tc>
          <w:tcPr>
            <w:tcW w:w="720" w:type="dxa"/>
            <w:vAlign w:val="bottom"/>
          </w:tcPr>
          <w:p>
            <w:pPr>
              <w:spacing w:after="0"/>
              <w:rPr>
                <w:sz w:val="13"/>
                <w:szCs w:val="13"/>
                <w:color w:val="auto"/>
              </w:rPr>
            </w:pPr>
          </w:p>
        </w:tc>
        <w:tc>
          <w:tcPr>
            <w:tcW w:w="9260" w:type="dxa"/>
            <w:vAlign w:val="bottom"/>
          </w:tcPr>
          <w:p>
            <w:pPr>
              <w:ind w:left="380"/>
              <w:spacing w:after="0"/>
              <w:rPr>
                <w:sz w:val="20"/>
                <w:szCs w:val="20"/>
                <w:color w:val="auto"/>
              </w:rPr>
            </w:pPr>
            <w:r>
              <w:rPr>
                <w:rFonts w:ascii="Arial" w:cs="Arial" w:eastAsia="Arial" w:hAnsi="Arial"/>
                <w:sz w:val="13"/>
                <w:szCs w:val="13"/>
                <w:color w:val="auto"/>
                <w:w w:val="92"/>
              </w:rPr>
              <w:t>Administrative Agent, Swing Line Lender and L/C Issuer, Citibank FSB and SunTrust Bank, as Co-Syndication Agents, and Royal Bank of Canada and Wachovia Bank,</w:t>
            </w:r>
          </w:p>
        </w:tc>
      </w:tr>
      <w:tr>
        <w:trPr>
          <w:trHeight w:val="157"/>
        </w:trPr>
        <w:tc>
          <w:tcPr>
            <w:tcW w:w="720" w:type="dxa"/>
            <w:vAlign w:val="bottom"/>
          </w:tcPr>
          <w:p>
            <w:pPr>
              <w:spacing w:after="0"/>
              <w:rPr>
                <w:sz w:val="13"/>
                <w:szCs w:val="13"/>
                <w:color w:val="auto"/>
              </w:rPr>
            </w:pPr>
          </w:p>
        </w:tc>
        <w:tc>
          <w:tcPr>
            <w:tcW w:w="9260" w:type="dxa"/>
            <w:vAlign w:val="bottom"/>
          </w:tcPr>
          <w:p>
            <w:pPr>
              <w:ind w:left="380"/>
              <w:spacing w:after="0"/>
              <w:rPr>
                <w:sz w:val="20"/>
                <w:szCs w:val="20"/>
                <w:color w:val="auto"/>
              </w:rPr>
            </w:pPr>
            <w:r>
              <w:rPr>
                <w:rFonts w:ascii="Arial" w:cs="Arial" w:eastAsia="Arial" w:hAnsi="Arial"/>
                <w:sz w:val="13"/>
                <w:szCs w:val="13"/>
                <w:color w:val="auto"/>
                <w:w w:val="94"/>
              </w:rPr>
              <w:t>National Association, as Co-Documentation Agents (Incorporated by reference to Exhibit 10.1 to the Company’s Current Report on Form 8-K filed on December 29,</w:t>
            </w:r>
          </w:p>
        </w:tc>
      </w:tr>
      <w:tr>
        <w:trPr>
          <w:trHeight w:val="157"/>
        </w:trPr>
        <w:tc>
          <w:tcPr>
            <w:tcW w:w="720" w:type="dxa"/>
            <w:vAlign w:val="bottom"/>
          </w:tcPr>
          <w:p>
            <w:pPr>
              <w:spacing w:after="0"/>
              <w:rPr>
                <w:sz w:val="13"/>
                <w:szCs w:val="13"/>
                <w:color w:val="auto"/>
              </w:rPr>
            </w:pPr>
          </w:p>
        </w:tc>
        <w:tc>
          <w:tcPr>
            <w:tcW w:w="9260" w:type="dxa"/>
            <w:vAlign w:val="bottom"/>
          </w:tcPr>
          <w:p>
            <w:pPr>
              <w:ind w:left="380"/>
              <w:spacing w:after="0"/>
              <w:rPr>
                <w:sz w:val="20"/>
                <w:szCs w:val="20"/>
                <w:color w:val="auto"/>
              </w:rPr>
            </w:pPr>
            <w:r>
              <w:rPr>
                <w:rFonts w:ascii="Arial" w:cs="Arial" w:eastAsia="Arial" w:hAnsi="Arial"/>
                <w:sz w:val="13"/>
                <w:szCs w:val="13"/>
                <w:color w:val="auto"/>
              </w:rPr>
              <w:t>2005)</w:t>
            </w: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4.3(b)</w:t>
            </w:r>
          </w:p>
        </w:tc>
        <w:tc>
          <w:tcPr>
            <w:tcW w:w="9260" w:type="dxa"/>
            <w:vAlign w:val="bottom"/>
          </w:tcPr>
          <w:p>
            <w:pPr>
              <w:ind w:left="380"/>
              <w:spacing w:after="0"/>
              <w:rPr>
                <w:sz w:val="20"/>
                <w:szCs w:val="20"/>
                <w:color w:val="auto"/>
              </w:rPr>
            </w:pPr>
            <w:r>
              <w:rPr>
                <w:rFonts w:ascii="Arial" w:cs="Arial" w:eastAsia="Arial" w:hAnsi="Arial"/>
                <w:sz w:val="13"/>
                <w:szCs w:val="13"/>
                <w:color w:val="auto"/>
              </w:rPr>
              <w:t>First Amendment, dated as of February 15, 2006, among Integra LifeSciences Holdings Corporation, the lenders party thereto, Bank of America, N.A., as</w:t>
            </w:r>
          </w:p>
        </w:tc>
      </w:tr>
      <w:tr>
        <w:trPr>
          <w:trHeight w:val="165"/>
        </w:trPr>
        <w:tc>
          <w:tcPr>
            <w:tcW w:w="720" w:type="dxa"/>
            <w:vAlign w:val="bottom"/>
          </w:tcPr>
          <w:p>
            <w:pPr>
              <w:spacing w:after="0"/>
              <w:rPr>
                <w:sz w:val="14"/>
                <w:szCs w:val="14"/>
                <w:color w:val="auto"/>
              </w:rPr>
            </w:pPr>
          </w:p>
        </w:tc>
        <w:tc>
          <w:tcPr>
            <w:tcW w:w="9260" w:type="dxa"/>
            <w:vAlign w:val="bottom"/>
          </w:tcPr>
          <w:p>
            <w:pPr>
              <w:ind w:left="380"/>
              <w:spacing w:after="0"/>
              <w:rPr>
                <w:sz w:val="20"/>
                <w:szCs w:val="20"/>
                <w:color w:val="auto"/>
              </w:rPr>
            </w:pPr>
            <w:r>
              <w:rPr>
                <w:rFonts w:ascii="Arial" w:cs="Arial" w:eastAsia="Arial" w:hAnsi="Arial"/>
                <w:sz w:val="13"/>
                <w:szCs w:val="13"/>
                <w:color w:val="auto"/>
                <w:w w:val="92"/>
              </w:rPr>
              <w:t>Administrative Agent, Swing Line Lender and L/C Issuer, Citibank FSB and SunTrust Bank, as Co-Syndication Agents, and Royal Bank of Canada and Wachovia Bank,</w:t>
            </w:r>
          </w:p>
        </w:tc>
      </w:tr>
    </w:tbl>
    <w:p>
      <w:pPr>
        <w:ind w:left="1100" w:right="300"/>
        <w:spacing w:after="0" w:line="264" w:lineRule="auto"/>
        <w:rPr>
          <w:sz w:val="20"/>
          <w:szCs w:val="20"/>
          <w:color w:val="auto"/>
        </w:rPr>
      </w:pPr>
      <w:r>
        <w:rPr>
          <w:rFonts w:ascii="Arial" w:cs="Arial" w:eastAsia="Arial" w:hAnsi="Arial"/>
          <w:sz w:val="13"/>
          <w:szCs w:val="13"/>
          <w:color w:val="auto"/>
        </w:rPr>
        <w:t>National Association, as Co-Documentation Agents (Incorporated by reference to Exhibit 4.3(b) to the Company’s Annual Report on Form 10-K for the year ended December 31, 2005)</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20" w:type="dxa"/>
            <w:vAlign w:val="bottom"/>
          </w:tcPr>
          <w:p>
            <w:pPr>
              <w:spacing w:after="0"/>
              <w:rPr>
                <w:sz w:val="13"/>
                <w:szCs w:val="13"/>
                <w:color w:val="auto"/>
              </w:rPr>
            </w:pPr>
          </w:p>
        </w:tc>
        <w:tc>
          <w:tcPr>
            <w:tcW w:w="10060" w:type="dxa"/>
            <w:vAlign w:val="bottom"/>
          </w:tcPr>
          <w:p>
            <w:pPr>
              <w:spacing w:after="0"/>
              <w:rPr>
                <w:sz w:val="13"/>
                <w:szCs w:val="13"/>
                <w:color w:val="auto"/>
              </w:rPr>
            </w:pPr>
          </w:p>
        </w:tc>
      </w:tr>
      <w:tr>
        <w:trPr>
          <w:trHeight w:val="384"/>
        </w:trPr>
        <w:tc>
          <w:tcPr>
            <w:tcW w:w="1400" w:type="dxa"/>
            <w:vAlign w:val="bottom"/>
            <w:gridSpan w:val="2"/>
          </w:tcPr>
          <w:p>
            <w:pPr>
              <w:ind w:left="680"/>
              <w:spacing w:after="0"/>
              <w:rPr>
                <w:sz w:val="20"/>
                <w:szCs w:val="20"/>
                <w:color w:val="auto"/>
              </w:rPr>
            </w:pPr>
            <w:r>
              <w:rPr>
                <w:rFonts w:ascii="Arial" w:cs="Arial" w:eastAsia="Arial" w:hAnsi="Arial"/>
                <w:sz w:val="13"/>
                <w:szCs w:val="13"/>
                <w:color w:val="auto"/>
              </w:rPr>
              <w:t>4.3(c)</w:t>
            </w:r>
          </w:p>
        </w:tc>
        <w:tc>
          <w:tcPr>
            <w:tcW w:w="10060" w:type="dxa"/>
            <w:vAlign w:val="bottom"/>
          </w:tcPr>
          <w:p>
            <w:pPr>
              <w:ind w:left="380"/>
              <w:spacing w:after="0"/>
              <w:rPr>
                <w:sz w:val="20"/>
                <w:szCs w:val="20"/>
                <w:color w:val="auto"/>
              </w:rPr>
            </w:pPr>
            <w:r>
              <w:rPr>
                <w:rFonts w:ascii="Arial" w:cs="Arial" w:eastAsia="Arial" w:hAnsi="Arial"/>
                <w:sz w:val="13"/>
                <w:szCs w:val="13"/>
                <w:color w:val="auto"/>
              </w:rPr>
              <w:t>Second Amendment, dated as of February 23, 2007, among Integra LifeSciences Holdings Corporation, the lenders party thereto, Bank of America, N.A., as</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Administrative Agent, Swing Line Lender and L/C Issuer, Citibank FSB and SunTrust Bank, as Co-Syndication Agents, and Royal Bank of Canada and Wachovia Bank,</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National Association, as Co-Documentation Agents (Incorporated by reference to Exhibit 4.1 to the Company’s Current Report on Form 8-K filed on February 27, 2007)</w:t>
            </w:r>
          </w:p>
        </w:tc>
      </w:tr>
      <w:tr>
        <w:trPr>
          <w:trHeight w:val="157"/>
        </w:trPr>
        <w:tc>
          <w:tcPr>
            <w:tcW w:w="1400" w:type="dxa"/>
            <w:vAlign w:val="bottom"/>
            <w:gridSpan w:val="2"/>
          </w:tcPr>
          <w:p>
            <w:pPr>
              <w:ind w:left="680"/>
              <w:spacing w:after="0"/>
              <w:rPr>
                <w:sz w:val="20"/>
                <w:szCs w:val="20"/>
                <w:color w:val="auto"/>
              </w:rPr>
            </w:pPr>
            <w:r>
              <w:rPr>
                <w:rFonts w:ascii="Arial" w:cs="Arial" w:eastAsia="Arial" w:hAnsi="Arial"/>
                <w:sz w:val="13"/>
                <w:szCs w:val="13"/>
                <w:color w:val="auto"/>
              </w:rPr>
              <w:t>4.3(d)</w:t>
            </w:r>
          </w:p>
        </w:tc>
        <w:tc>
          <w:tcPr>
            <w:tcW w:w="10060" w:type="dxa"/>
            <w:vAlign w:val="bottom"/>
          </w:tcPr>
          <w:p>
            <w:pPr>
              <w:ind w:left="380"/>
              <w:spacing w:after="0"/>
              <w:rPr>
                <w:sz w:val="20"/>
                <w:szCs w:val="20"/>
                <w:color w:val="auto"/>
              </w:rPr>
            </w:pPr>
            <w:r>
              <w:rPr>
                <w:rFonts w:ascii="Arial" w:cs="Arial" w:eastAsia="Arial" w:hAnsi="Arial"/>
                <w:sz w:val="13"/>
                <w:szCs w:val="13"/>
                <w:color w:val="auto"/>
              </w:rPr>
              <w:t>Third Amendment, dated as of June 4, 2007, among Integra LifeSciences Holdings Corporation, the lenders party thereto, Bank of America, N.A., as Administrative</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Agent, Swing Line Lender and L/C Issuer, Citibank, N.A., successor by merger to Citibank, FSB, as Syndication Agent and JPMorgan Chase Bank, N.A., Deutsche</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Bank Trust Company Americas and Royal Bank of Canada, as Co-Documentation Agents (Incorporated by reference to Exhibit 4.1 to the Company’s Current Report on</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Form 8-K filed on June 6, 2007)</w:t>
            </w:r>
          </w:p>
        </w:tc>
      </w:tr>
      <w:tr>
        <w:trPr>
          <w:trHeight w:val="157"/>
        </w:trPr>
        <w:tc>
          <w:tcPr>
            <w:tcW w:w="1400" w:type="dxa"/>
            <w:vAlign w:val="bottom"/>
            <w:gridSpan w:val="2"/>
          </w:tcPr>
          <w:p>
            <w:pPr>
              <w:ind w:left="680"/>
              <w:spacing w:after="0"/>
              <w:rPr>
                <w:sz w:val="20"/>
                <w:szCs w:val="20"/>
                <w:color w:val="auto"/>
              </w:rPr>
            </w:pPr>
            <w:r>
              <w:rPr>
                <w:rFonts w:ascii="Arial" w:cs="Arial" w:eastAsia="Arial" w:hAnsi="Arial"/>
                <w:sz w:val="13"/>
                <w:szCs w:val="13"/>
                <w:color w:val="auto"/>
              </w:rPr>
              <w:t>4.3(e)</w:t>
            </w:r>
          </w:p>
        </w:tc>
        <w:tc>
          <w:tcPr>
            <w:tcW w:w="10060" w:type="dxa"/>
            <w:vAlign w:val="bottom"/>
          </w:tcPr>
          <w:p>
            <w:pPr>
              <w:ind w:left="380"/>
              <w:spacing w:after="0"/>
              <w:rPr>
                <w:sz w:val="20"/>
                <w:szCs w:val="20"/>
                <w:color w:val="auto"/>
              </w:rPr>
            </w:pPr>
            <w:r>
              <w:rPr>
                <w:rFonts w:ascii="Arial" w:cs="Arial" w:eastAsia="Arial" w:hAnsi="Arial"/>
                <w:sz w:val="13"/>
                <w:szCs w:val="13"/>
                <w:color w:val="auto"/>
              </w:rPr>
              <w:t>Fourth Amendment, dated as of September 5, 2007, among Integra LifeSciences Holdings Corporation, the lenders party thereto, Bank of America, N.A., as</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Administrative Agent, Swing Line Lender and L/C Issuer, Citibank, N.A., successor by merger to Citibank FSB, as Syndication Agent and JPMorgan Chase Bank, N.A.,</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Deutsche Bank Trust Company Americas and Royal Bank of Canada, as Co-Documentation Agents (Incorporated by reference to Exhibit 4.1 to the Company’s Current</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Report on Form 8-K filed on September 6, 2007)</w:t>
            </w:r>
          </w:p>
        </w:tc>
      </w:tr>
      <w:tr>
        <w:trPr>
          <w:trHeight w:val="157"/>
        </w:trPr>
        <w:tc>
          <w:tcPr>
            <w:tcW w:w="1400" w:type="dxa"/>
            <w:vAlign w:val="bottom"/>
            <w:gridSpan w:val="2"/>
          </w:tcPr>
          <w:p>
            <w:pPr>
              <w:ind w:left="680"/>
              <w:spacing w:after="0"/>
              <w:rPr>
                <w:sz w:val="20"/>
                <w:szCs w:val="20"/>
                <w:color w:val="auto"/>
              </w:rPr>
            </w:pPr>
            <w:r>
              <w:rPr>
                <w:rFonts w:ascii="Arial" w:cs="Arial" w:eastAsia="Arial" w:hAnsi="Arial"/>
                <w:sz w:val="13"/>
                <w:szCs w:val="13"/>
                <w:color w:val="auto"/>
              </w:rPr>
              <w:t>4.3(f)</w:t>
            </w:r>
          </w:p>
        </w:tc>
        <w:tc>
          <w:tcPr>
            <w:tcW w:w="10060" w:type="dxa"/>
            <w:vAlign w:val="bottom"/>
          </w:tcPr>
          <w:p>
            <w:pPr>
              <w:ind w:left="380"/>
              <w:spacing w:after="0"/>
              <w:rPr>
                <w:sz w:val="20"/>
                <w:szCs w:val="20"/>
                <w:color w:val="auto"/>
              </w:rPr>
            </w:pPr>
            <w:r>
              <w:rPr>
                <w:rFonts w:ascii="Arial" w:cs="Arial" w:eastAsia="Arial" w:hAnsi="Arial"/>
                <w:sz w:val="13"/>
                <w:szCs w:val="13"/>
                <w:color w:val="auto"/>
              </w:rPr>
              <w:t>Amended and Restated Credit Agreement, dated as of August 10, 2010, among Integra LifeSciences Holdings Corporation, the lenders party thereto, Bank of America,</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N.A., as Administrative Agent, Swing Line Lender and L/C Issuer, JP Morgan Chase Bank, as Syndication Agent, and HSBC Bank USA, NA, RBC Capital Markets,</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Wells Fargo Bank, N.A., Fifth Third Bank, DNB NOR Bank ASA and TD Bank, N.A., as Co-Documentation Agents (Incorporated by reference to Exhibit 10.1 to the</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Company’s Current Report on Form 8-K filed on August 10, 2010)</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4.4</w:t>
            </w: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Security Agreement, dated as of December 22, 2005, among Integra LifeSciences Holdings Corporation and the additional grantors party thereto in favor of Bank of</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America, N.A., as administrative and collateral agent (Incorporated by reference to Exhibit 4.4 to the Company’s Annual Report on Form 10-K for the year ended</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December 31, 2005)</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4.5</w:t>
            </w: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Pledge Agreement, dated as of December 22, 2005, among Integra LifeSciences Holdings Corporation and the additional grantors party thereto in favor of Bank of</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America, N.A., as administrative and collateral agent (Incorporated by reference to Exhibit 4.5 to the Company’s Annual Report on Form 10-K for the year ended</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December 31, 2005)</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4.6</w:t>
            </w: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Subsidiary Guaranty Agreement, dated as of December 22, 2005, among the guarantors party thereto and individually as a “Guarantor”), in favor of Bank of America,</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N.A., as administrative and collateral agent (Incorporated by reference to Exhibit 4.6 to the Company’s Annual Report on Form 10-K for the year ended December 31,</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2005)</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4.7</w:t>
            </w: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Indenture, dated as of September 29, 2006, between the Company and Wells Fargo Bank, N.A. (Incorporated by reference to Exhibit 4.1 to the Company’s Current</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Report on Form 8-K filed on October 5, 2006)</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4.8</w:t>
            </w: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Indenture, dated June 11, 2007, among Integra LifeSciences Holdings Corporation, Integra LifeSciences Corporation and Wells Fargo Bank, N.A., as trustee</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(Incorporated by reference to Exhibit 4.1 to the Company’s Current Report on Form 8-K filed on June 12, 2007)</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4.9</w:t>
            </w: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Form of 2.75% Senior Convertible Note due 2010 (included in Exhibit 4.8) (Incorporated by reference to Exhibit 4.2 to the Company’s Current Report on Form 8-K</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filed on June 12, 2007)</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4.10</w:t>
            </w: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Indenture, dated June 11, 2007, among Integra LifeSciences Holdings Corporation, Integra LifeSciences Corporation and Wells Fargo Bank, N.A., as trustee</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(Incorporated by reference to Exhibit 4.3 to the Company’s Current Report on Form 8-K filed on June 12, 2007)</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4.11</w:t>
            </w: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Form of 2.375% Senior Convertible Note due 2012 (included in Exhibit 4.10) (Incorporated by reference to Exhibit 4.4 to the Company’s Current Report on Form 8-K</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filed on June 12, 2007)</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4.12</w:t>
            </w: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Registration Rights Agreement, dated June 11, 2007, among Integra LifeSciences Holdings Corporation, Banc of America Securities LLC, J.P. Morgan Securities Inc.</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and Morgan Stanley &amp; Co., Incorporated, as representatives of the several initial purchasers (Incorporated by reference to Exhibit 4.5 to the Company’s Current Report</w:t>
            </w:r>
          </w:p>
        </w:tc>
      </w:tr>
      <w:tr>
        <w:trPr>
          <w:trHeight w:val="165"/>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60" w:type="dxa"/>
            <w:vAlign w:val="bottom"/>
          </w:tcPr>
          <w:p>
            <w:pPr>
              <w:ind w:left="380"/>
              <w:spacing w:after="0"/>
              <w:rPr>
                <w:sz w:val="20"/>
                <w:szCs w:val="20"/>
                <w:color w:val="auto"/>
              </w:rPr>
            </w:pPr>
            <w:r>
              <w:rPr>
                <w:rFonts w:ascii="Arial" w:cs="Arial" w:eastAsia="Arial" w:hAnsi="Arial"/>
                <w:sz w:val="13"/>
                <w:szCs w:val="13"/>
                <w:color w:val="auto"/>
              </w:rPr>
              <w:t>on Form 8-K filed on June 12, 2007)</w:t>
            </w:r>
          </w:p>
        </w:tc>
      </w:tr>
      <w:tr>
        <w:trPr>
          <w:trHeight w:val="295"/>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60" w:type="dxa"/>
            <w:vAlign w:val="bottom"/>
          </w:tcPr>
          <w:p>
            <w:pPr>
              <w:ind w:left="4220"/>
              <w:spacing w:after="0"/>
              <w:rPr>
                <w:sz w:val="20"/>
                <w:szCs w:val="20"/>
                <w:color w:val="auto"/>
              </w:rPr>
            </w:pPr>
            <w:r>
              <w:rPr>
                <w:rFonts w:ascii="Arial" w:cs="Arial" w:eastAsia="Arial" w:hAnsi="Arial"/>
                <w:sz w:val="13"/>
                <w:szCs w:val="13"/>
                <w:color w:val="auto"/>
              </w:rPr>
              <w:t>50</w:t>
            </w:r>
          </w:p>
        </w:tc>
      </w:tr>
      <w:tr>
        <w:trPr>
          <w:trHeight w:val="163"/>
        </w:trPr>
        <w:tc>
          <w:tcPr>
            <w:tcW w:w="9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9"/>
        </w:trPr>
        <w:tc>
          <w:tcPr>
            <w:tcW w:w="1460" w:type="dxa"/>
            <w:vAlign w:val="bottom"/>
            <w:gridSpan w:val="2"/>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10000" w:type="dxa"/>
            <w:vAlign w:val="bottom"/>
          </w:tcPr>
          <w:p>
            <w:pPr>
              <w:spacing w:after="0"/>
              <w:rPr>
                <w:sz w:val="13"/>
                <w:szCs w:val="13"/>
                <w:color w:val="auto"/>
              </w:rPr>
            </w:pPr>
          </w:p>
        </w:tc>
      </w:tr>
      <w:tr>
        <w:trPr>
          <w:trHeight w:val="384"/>
        </w:trPr>
        <w:tc>
          <w:tcPr>
            <w:tcW w:w="980" w:type="dxa"/>
            <w:vAlign w:val="bottom"/>
            <w:tcBorders>
              <w:top w:val="single" w:sz="8" w:color="0000EE"/>
            </w:tcBorders>
          </w:tcPr>
          <w:p>
            <w:pPr>
              <w:ind w:left="680"/>
              <w:spacing w:after="0"/>
              <w:rPr>
                <w:sz w:val="20"/>
                <w:szCs w:val="20"/>
                <w:color w:val="auto"/>
              </w:rPr>
            </w:pPr>
            <w:r>
              <w:rPr>
                <w:rFonts w:ascii="Arial" w:cs="Arial" w:eastAsia="Arial" w:hAnsi="Arial"/>
                <w:sz w:val="13"/>
                <w:szCs w:val="13"/>
                <w:color w:val="auto"/>
              </w:rPr>
              <w:t>4.13</w:t>
            </w:r>
          </w:p>
        </w:tc>
        <w:tc>
          <w:tcPr>
            <w:tcW w:w="480" w:type="dxa"/>
            <w:vAlign w:val="bottom"/>
          </w:tcPr>
          <w:p>
            <w:pPr>
              <w:spacing w:after="0"/>
              <w:rPr>
                <w:sz w:val="24"/>
                <w:szCs w:val="24"/>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Registration Rights Agreement, dated June 11, 2007, among Integra LifeSciences Holdings Corporation, Banc of America Securities LLC, J.P. Morgan Securities Inc.</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and Morgan Stanley &amp; Co., Incorporated, as representatives of the several initial purchasers (Incorporated by reference to Exhibit 4.6 to the Company’s Current Report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on Form 8-K filed on June 12,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10.1(a)</w:t>
            </w:r>
          </w:p>
        </w:tc>
        <w:tc>
          <w:tcPr>
            <w:tcW w:w="10000" w:type="dxa"/>
            <w:vAlign w:val="bottom"/>
          </w:tcPr>
          <w:p>
            <w:pPr>
              <w:ind w:left="320"/>
              <w:spacing w:after="0"/>
              <w:rPr>
                <w:sz w:val="20"/>
                <w:szCs w:val="20"/>
                <w:color w:val="auto"/>
              </w:rPr>
            </w:pPr>
            <w:r>
              <w:rPr>
                <w:rFonts w:ascii="Arial" w:cs="Arial" w:eastAsia="Arial" w:hAnsi="Arial"/>
                <w:sz w:val="13"/>
                <w:szCs w:val="13"/>
                <w:color w:val="auto"/>
              </w:rPr>
              <w:t>Lease between Plainsboro Associates and American Biomaterials Corporation dated as of April 16, 1985, as assigned to Colla-Tec, Inc. on October 24, 1989 and as</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amended through November 1, 1992 (Incorporated by reference to Exhibit 10.30 to the Company’s Registration Statement on Form 10/A (File No. 0-26224) which</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became effective on August 8, 1995)</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10.1(b)</w:t>
            </w:r>
          </w:p>
        </w:tc>
        <w:tc>
          <w:tcPr>
            <w:tcW w:w="10000" w:type="dxa"/>
            <w:vAlign w:val="bottom"/>
          </w:tcPr>
          <w:p>
            <w:pPr>
              <w:ind w:left="320"/>
              <w:spacing w:after="0"/>
              <w:rPr>
                <w:sz w:val="20"/>
                <w:szCs w:val="20"/>
                <w:color w:val="auto"/>
              </w:rPr>
            </w:pPr>
            <w:r>
              <w:rPr>
                <w:rFonts w:ascii="Arial" w:cs="Arial" w:eastAsia="Arial" w:hAnsi="Arial"/>
                <w:sz w:val="13"/>
                <w:szCs w:val="13"/>
                <w:color w:val="auto"/>
              </w:rPr>
              <w:t>Lease Modification #2 entered into as of the 28th day of October, 2005, by and between Plainsboro Associates and Integra LifeSciences Corporation (Incorporated by</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reference to Exhibit 10.1 to the Company’s Current Report on Form 8-K filed on November 2, 2005)</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10.2</w:t>
            </w: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Equipment Lease Agreement between Medicus Corporation and the Company, dated as of June 1, 2000 (Incorporated by reference to Exhibit 10.1 to the Company’s</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Quarterly Report on Form 10-Q for the quarter ended June 30, 2000)</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10.2(a)</w:t>
            </w:r>
          </w:p>
        </w:tc>
        <w:tc>
          <w:tcPr>
            <w:tcW w:w="10000" w:type="dxa"/>
            <w:vAlign w:val="bottom"/>
          </w:tcPr>
          <w:p>
            <w:pPr>
              <w:ind w:left="320"/>
              <w:spacing w:after="0"/>
              <w:rPr>
                <w:sz w:val="20"/>
                <w:szCs w:val="20"/>
                <w:color w:val="auto"/>
              </w:rPr>
            </w:pPr>
            <w:r>
              <w:rPr>
                <w:rFonts w:ascii="Arial" w:cs="Arial" w:eastAsia="Arial" w:hAnsi="Arial"/>
                <w:sz w:val="13"/>
                <w:szCs w:val="13"/>
                <w:color w:val="auto"/>
                <w:w w:val="99"/>
              </w:rPr>
              <w:t>First Amendment to Equipment Lease Agreement between Medicus Corporation and the Company, dated as of June 29, 2010 (Incorporated by reference to Exhibit 10.2</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to the Company’s Quarterly Report on Form 10-Q for the quarter ended June 30, 2010)</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10.3</w:t>
            </w: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Form of Indemnification Agreement between the Company and [ ] dated August 16, 1995, including a schedule identifying the individuals that are a party to such</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Indemnification Agreements (Incorporated by reference to Exhibit 10.37 to the Company’s Registration Statement on Form S-1 (File No. 33-98698) which became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effective on January 24, 1996)*</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10.4</w:t>
            </w: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1993 Incentive Stock Option and Non-Qualified Stock Option Plan (Incorporated by reference to Exhibit 10.32 to the Company’s Registration Statement on Form 10/A</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(File No. 0-26224) which became effective on August 8, 1995)*</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10.5</w:t>
            </w: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1996 Incentive Stock Option and Non-Qualified Stock Option Plan (as amended through December 27, 1997) (Incorporated by reference to Exhibit 10.4 to the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Company’s Current Report on Form 8-K filed on February 3, 1998)*</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10.6</w:t>
            </w: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1998 Stock Option Plan (amended and restated as of July 26, 2005) (Incorporated by reference to Exhibit 10.3 to the Company’s Quarterly Report on Form 10-Q for the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quarter ended September 30, 2005)*</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10.7</w:t>
            </w: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1999 Stock Option Plan (amended and restated as of July 26, 2005) (Incorporated by reference to Exhibit 10.4 to the Company’s Quarterly Report on Form 10-Q for the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quarter ended September 30, 2005)*</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10.8(a)</w:t>
            </w:r>
          </w:p>
        </w:tc>
        <w:tc>
          <w:tcPr>
            <w:tcW w:w="10000" w:type="dxa"/>
            <w:vAlign w:val="bottom"/>
          </w:tcPr>
          <w:p>
            <w:pPr>
              <w:ind w:left="320"/>
              <w:spacing w:after="0"/>
              <w:rPr>
                <w:sz w:val="20"/>
                <w:szCs w:val="20"/>
                <w:color w:val="auto"/>
              </w:rPr>
            </w:pPr>
            <w:r>
              <w:rPr>
                <w:rFonts w:ascii="Arial" w:cs="Arial" w:eastAsia="Arial" w:hAnsi="Arial"/>
                <w:sz w:val="13"/>
                <w:szCs w:val="13"/>
                <w:color w:val="auto"/>
              </w:rPr>
              <w:t>Employee Stock Purchase Plan (as amended on May 17, 2004) (Incorporated by reference to Exhibit 4.1 to the Company’s Registration Statement on Form S-8</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(Registration No. 333-127488) filed on August 12, 2005)*</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10.8(b)</w:t>
            </w:r>
          </w:p>
        </w:tc>
        <w:tc>
          <w:tcPr>
            <w:tcW w:w="10000" w:type="dxa"/>
            <w:vAlign w:val="bottom"/>
          </w:tcPr>
          <w:p>
            <w:pPr>
              <w:ind w:left="320"/>
              <w:spacing w:after="0"/>
              <w:rPr>
                <w:sz w:val="20"/>
                <w:szCs w:val="20"/>
                <w:color w:val="auto"/>
              </w:rPr>
            </w:pPr>
            <w:r>
              <w:rPr>
                <w:rFonts w:ascii="Arial" w:cs="Arial" w:eastAsia="Arial" w:hAnsi="Arial"/>
                <w:sz w:val="13"/>
                <w:szCs w:val="13"/>
                <w:color w:val="auto"/>
                <w:w w:val="99"/>
              </w:rPr>
              <w:t>First Amendment to the Company’s Employee Stock Purchase Plan, dated October 26, 2005 (Incorporated by reference to Exhibit 10.1 to the Company’s Current Report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on Form 8-K filed on November 1, 2005)*</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10.9</w:t>
            </w: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2000 Equity Incentive Plan (amended and restated as of July 26, 2005) (Incorporated by reference to Exhibit 10.5 to the Company’s Quarterly Report on Form 10-Q for</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the quarter ended September 30, 2005)*</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10.10</w:t>
            </w:r>
          </w:p>
        </w:tc>
        <w:tc>
          <w:tcPr>
            <w:tcW w:w="10000" w:type="dxa"/>
            <w:vAlign w:val="bottom"/>
          </w:tcPr>
          <w:p>
            <w:pPr>
              <w:ind w:left="320"/>
              <w:spacing w:after="0"/>
              <w:rPr>
                <w:sz w:val="20"/>
                <w:szCs w:val="20"/>
                <w:color w:val="auto"/>
              </w:rPr>
            </w:pPr>
            <w:r>
              <w:rPr>
                <w:rFonts w:ascii="Arial" w:cs="Arial" w:eastAsia="Arial" w:hAnsi="Arial"/>
                <w:sz w:val="13"/>
                <w:szCs w:val="13"/>
                <w:color w:val="auto"/>
              </w:rPr>
              <w:t>2001 Equity Incentive Plan (amended and restated as of July 26, 2005) (Incorporated by reference to Exhibit 10.6 to the Company’s Quarterly Report on Form 10-Q for</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the quarter ended September 30, 2005)*</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10.11(a)</w:t>
            </w:r>
          </w:p>
        </w:tc>
        <w:tc>
          <w:tcPr>
            <w:tcW w:w="10000" w:type="dxa"/>
            <w:vAlign w:val="bottom"/>
          </w:tcPr>
          <w:p>
            <w:pPr>
              <w:ind w:left="320"/>
              <w:spacing w:after="0"/>
              <w:rPr>
                <w:sz w:val="20"/>
                <w:szCs w:val="20"/>
                <w:color w:val="auto"/>
              </w:rPr>
            </w:pPr>
            <w:r>
              <w:rPr>
                <w:rFonts w:ascii="Arial" w:cs="Arial" w:eastAsia="Arial" w:hAnsi="Arial"/>
                <w:sz w:val="13"/>
                <w:szCs w:val="13"/>
                <w:color w:val="auto"/>
              </w:rPr>
              <w:t>Integra LifeSciences Holdings Corporation Second Amended and Restated 2003 Equity Incentive Plan effective May 19, 2010 (Incorporated by reference to Exhibit 10</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to the Company’s Current Report on Form 8-K filed May 21, 2010)*</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10.11(b)</w:t>
            </w:r>
          </w:p>
        </w:tc>
        <w:tc>
          <w:tcPr>
            <w:tcW w:w="10000" w:type="dxa"/>
            <w:vAlign w:val="bottom"/>
          </w:tcPr>
          <w:p>
            <w:pPr>
              <w:ind w:left="320"/>
              <w:spacing w:after="0"/>
              <w:rPr>
                <w:sz w:val="20"/>
                <w:szCs w:val="20"/>
                <w:color w:val="auto"/>
              </w:rPr>
            </w:pPr>
            <w:r>
              <w:rPr>
                <w:rFonts w:ascii="Arial" w:cs="Arial" w:eastAsia="Arial" w:hAnsi="Arial"/>
                <w:sz w:val="13"/>
                <w:szCs w:val="13"/>
                <w:color w:val="auto"/>
              </w:rPr>
              <w:t>Integra LifeSciences Holdings Corporation Amended and Restated 2003 Equity Incentive Plan effective July 9, 2008 (Incorporated by reference to Exhibit 10.2 to the</w:t>
            </w:r>
          </w:p>
        </w:tc>
      </w:tr>
      <w:tr>
        <w:trPr>
          <w:trHeight w:val="165"/>
        </w:trPr>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Company’s Current Report on Form 8-K filed on July 11, 2008)*</w:t>
            </w:r>
          </w:p>
        </w:tc>
      </w:tr>
      <w:tr>
        <w:trPr>
          <w:trHeight w:val="295"/>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0" w:type="dxa"/>
            <w:vAlign w:val="bottom"/>
          </w:tcPr>
          <w:p>
            <w:pPr>
              <w:ind w:left="4160"/>
              <w:spacing w:after="0"/>
              <w:rPr>
                <w:sz w:val="20"/>
                <w:szCs w:val="20"/>
                <w:color w:val="auto"/>
              </w:rPr>
            </w:pPr>
            <w:r>
              <w:rPr>
                <w:rFonts w:ascii="Arial" w:cs="Arial" w:eastAsia="Arial" w:hAnsi="Arial"/>
                <w:sz w:val="13"/>
                <w:szCs w:val="13"/>
                <w:color w:val="auto"/>
              </w:rPr>
              <w:t>51</w:t>
            </w:r>
          </w:p>
        </w:tc>
      </w:tr>
      <w:tr>
        <w:trPr>
          <w:trHeight w:val="163"/>
        </w:trPr>
        <w:tc>
          <w:tcPr>
            <w:tcW w:w="9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80" w:type="dxa"/>
            <w:vAlign w:val="bottom"/>
          </w:tcPr>
          <w:p>
            <w:pPr>
              <w:spacing w:after="0"/>
              <w:rPr>
                <w:sz w:val="13"/>
                <w:szCs w:val="13"/>
                <w:color w:val="auto"/>
              </w:rPr>
            </w:pPr>
          </w:p>
        </w:tc>
        <w:tc>
          <w:tcPr>
            <w:tcW w:w="10000" w:type="dxa"/>
            <w:vAlign w:val="bottom"/>
          </w:tcPr>
          <w:p>
            <w:pPr>
              <w:spacing w:after="0"/>
              <w:rPr>
                <w:sz w:val="13"/>
                <w:szCs w:val="13"/>
                <w:color w:val="auto"/>
              </w:rPr>
            </w:pPr>
          </w:p>
        </w:tc>
      </w:tr>
      <w:tr>
        <w:trPr>
          <w:trHeight w:val="384"/>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10.11(c)</w:t>
            </w:r>
          </w:p>
        </w:tc>
        <w:tc>
          <w:tcPr>
            <w:tcW w:w="10000" w:type="dxa"/>
            <w:vAlign w:val="bottom"/>
          </w:tcPr>
          <w:p>
            <w:pPr>
              <w:ind w:left="320"/>
              <w:spacing w:after="0"/>
              <w:rPr>
                <w:sz w:val="20"/>
                <w:szCs w:val="20"/>
                <w:color w:val="auto"/>
              </w:rPr>
            </w:pPr>
            <w:r>
              <w:rPr>
                <w:rFonts w:ascii="Arial" w:cs="Arial" w:eastAsia="Arial" w:hAnsi="Arial"/>
                <w:sz w:val="13"/>
                <w:szCs w:val="13"/>
                <w:color w:val="auto"/>
              </w:rPr>
              <w:t>Amendment to the Integra LifeSciences Holdings Corporation 2003 Equity Incentive Plan dated July 9, 2008 (Incorporated by reference to Exhibit 10.3 to the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Company’s Current Report on Form 8-K filed on July 11, 2008)*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10.12(a)</w:t>
            </w:r>
          </w:p>
        </w:tc>
        <w:tc>
          <w:tcPr>
            <w:tcW w:w="10000" w:type="dxa"/>
            <w:vAlign w:val="bottom"/>
          </w:tcPr>
          <w:p>
            <w:pPr>
              <w:ind w:left="320"/>
              <w:spacing w:after="0"/>
              <w:rPr>
                <w:sz w:val="20"/>
                <w:szCs w:val="20"/>
                <w:color w:val="auto"/>
              </w:rPr>
            </w:pPr>
            <w:r>
              <w:rPr>
                <w:rFonts w:ascii="Arial" w:cs="Arial" w:eastAsia="Arial" w:hAnsi="Arial"/>
                <w:sz w:val="13"/>
                <w:szCs w:val="13"/>
                <w:color w:val="auto"/>
                <w:w w:val="99"/>
              </w:rPr>
              <w:t>Second Amended and Restated Employment Agreement dated July 27, 2004 between the Company and Stuart M. Essig (Incorporated by reference to Exhibit 10.1 to the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Company’s Quarterly Report on Form 10-Q for the quarter ended September 30,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10.12(b)</w:t>
            </w:r>
          </w:p>
        </w:tc>
        <w:tc>
          <w:tcPr>
            <w:tcW w:w="10000" w:type="dxa"/>
            <w:vAlign w:val="bottom"/>
          </w:tcPr>
          <w:p>
            <w:pPr>
              <w:ind w:left="320"/>
              <w:spacing w:after="0"/>
              <w:rPr>
                <w:sz w:val="20"/>
                <w:szCs w:val="20"/>
                <w:color w:val="auto"/>
              </w:rPr>
            </w:pPr>
            <w:r>
              <w:rPr>
                <w:rFonts w:ascii="Arial" w:cs="Arial" w:eastAsia="Arial" w:hAnsi="Arial"/>
                <w:sz w:val="13"/>
                <w:szCs w:val="13"/>
                <w:color w:val="auto"/>
              </w:rPr>
              <w:t>Amendment 2006-1, dated as of December 19, 2006, to the Second Amended and Restated Employment Agreement, between the Company and Stuart M. Essig</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(Incorporated by reference to Exhibit 10.1 to the Company’s Current Report on Form 8-K filed on December 22, 2006)*</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10.12(c)</w:t>
            </w:r>
          </w:p>
        </w:tc>
        <w:tc>
          <w:tcPr>
            <w:tcW w:w="10000" w:type="dxa"/>
            <w:vAlign w:val="bottom"/>
          </w:tcPr>
          <w:p>
            <w:pPr>
              <w:ind w:left="320"/>
              <w:spacing w:after="0"/>
              <w:rPr>
                <w:sz w:val="20"/>
                <w:szCs w:val="20"/>
                <w:color w:val="auto"/>
              </w:rPr>
            </w:pPr>
            <w:r>
              <w:rPr>
                <w:rFonts w:ascii="Arial" w:cs="Arial" w:eastAsia="Arial" w:hAnsi="Arial"/>
                <w:sz w:val="13"/>
                <w:szCs w:val="13"/>
                <w:color w:val="auto"/>
              </w:rPr>
              <w:t>Amendment 2008-1, dated as of March 6, 2008, to the Second Amended and Restated Employment Agreement, between the Company and Stuart M. Essig</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(Incorporated by reference to Exhibit 10.12(c) to the Company’s Annual Report on Form 10-K for the year ended December 31,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10.12(d)</w:t>
            </w:r>
          </w:p>
        </w:tc>
        <w:tc>
          <w:tcPr>
            <w:tcW w:w="10000" w:type="dxa"/>
            <w:vAlign w:val="bottom"/>
          </w:tcPr>
          <w:p>
            <w:pPr>
              <w:ind w:left="320"/>
              <w:spacing w:after="0"/>
              <w:rPr>
                <w:sz w:val="20"/>
                <w:szCs w:val="20"/>
                <w:color w:val="auto"/>
              </w:rPr>
            </w:pPr>
            <w:r>
              <w:rPr>
                <w:rFonts w:ascii="Arial" w:cs="Arial" w:eastAsia="Arial" w:hAnsi="Arial"/>
                <w:sz w:val="13"/>
                <w:szCs w:val="13"/>
                <w:color w:val="auto"/>
              </w:rPr>
              <w:t>Amendment 2008-2, dated as of August 6, 2008, to the Second Amended and Restated Employment Agreement between Stuart M. Essig and the Company</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(Incorporated by reference to Exhibit 10.7 to the Company’s Quarterly Report on Form 10-Q for the quarter ended June 30, 2008)*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10.12(e)</w:t>
            </w:r>
          </w:p>
        </w:tc>
        <w:tc>
          <w:tcPr>
            <w:tcW w:w="10000" w:type="dxa"/>
            <w:vAlign w:val="bottom"/>
          </w:tcPr>
          <w:p>
            <w:pPr>
              <w:ind w:left="320"/>
              <w:spacing w:after="0"/>
              <w:rPr>
                <w:sz w:val="20"/>
                <w:szCs w:val="20"/>
                <w:color w:val="auto"/>
              </w:rPr>
            </w:pPr>
            <w:r>
              <w:rPr>
                <w:rFonts w:ascii="Arial" w:cs="Arial" w:eastAsia="Arial" w:hAnsi="Arial"/>
                <w:sz w:val="13"/>
                <w:szCs w:val="13"/>
                <w:color w:val="auto"/>
                <w:w w:val="99"/>
              </w:rPr>
              <w:t>Amendment 2009-1, dated as of April 13, 2009, to the Second Amended and Restated Employment Agreement between Stuart M. Essig and the Company (Incorporated</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by reference to Exhibit 10.2 to the Company’s Current Report on Form 8-K filed on April 13, 2009)*</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10.13</w:t>
            </w:r>
          </w:p>
        </w:tc>
        <w:tc>
          <w:tcPr>
            <w:tcW w:w="10000" w:type="dxa"/>
            <w:vAlign w:val="bottom"/>
          </w:tcPr>
          <w:p>
            <w:pPr>
              <w:ind w:left="320"/>
              <w:spacing w:after="0"/>
              <w:rPr>
                <w:sz w:val="20"/>
                <w:szCs w:val="20"/>
                <w:color w:val="auto"/>
              </w:rPr>
            </w:pPr>
            <w:r>
              <w:rPr>
                <w:rFonts w:ascii="Arial" w:cs="Arial" w:eastAsia="Arial" w:hAnsi="Arial"/>
                <w:sz w:val="13"/>
                <w:szCs w:val="13"/>
                <w:color w:val="auto"/>
              </w:rPr>
              <w:t>Indemnity letter agreement dated December 27, 1997 from the Company to Stuart M. Essig (Incorporated by reference to Exhibit 10.5 to the Company’s Current Report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on Form 8-K filed on February 3, 1998)*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10.14(a)</w:t>
            </w:r>
          </w:p>
        </w:tc>
        <w:tc>
          <w:tcPr>
            <w:tcW w:w="10000" w:type="dxa"/>
            <w:vAlign w:val="bottom"/>
          </w:tcPr>
          <w:p>
            <w:pPr>
              <w:ind w:left="320"/>
              <w:spacing w:after="0"/>
              <w:rPr>
                <w:sz w:val="20"/>
                <w:szCs w:val="20"/>
                <w:color w:val="auto"/>
              </w:rPr>
            </w:pPr>
            <w:r>
              <w:rPr>
                <w:rFonts w:ascii="Arial" w:cs="Arial" w:eastAsia="Arial" w:hAnsi="Arial"/>
                <w:sz w:val="13"/>
                <w:szCs w:val="13"/>
                <w:color w:val="auto"/>
              </w:rPr>
              <w:t>Registration Rights Provisions for Stuart M. Essig (Incorporated by reference to Exhibit B of Exhibit 10.1 to the Company’s Current Report on Form 8-K filed on</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February 3, 1998)*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10.14(b)</w:t>
            </w:r>
          </w:p>
        </w:tc>
        <w:tc>
          <w:tcPr>
            <w:tcW w:w="10000" w:type="dxa"/>
            <w:vAlign w:val="bottom"/>
          </w:tcPr>
          <w:p>
            <w:pPr>
              <w:ind w:left="320"/>
              <w:spacing w:after="0"/>
              <w:rPr>
                <w:sz w:val="20"/>
                <w:szCs w:val="20"/>
                <w:color w:val="auto"/>
              </w:rPr>
            </w:pPr>
            <w:r>
              <w:rPr>
                <w:rFonts w:ascii="Arial" w:cs="Arial" w:eastAsia="Arial" w:hAnsi="Arial"/>
                <w:sz w:val="13"/>
                <w:szCs w:val="13"/>
                <w:color w:val="auto"/>
              </w:rPr>
              <w:t>Registration Rights Provisions for Stuart M. Essig (Incorporated by reference to Exhibit 10.2 to the Company’s Current Report on Form 8-K filed on January 8, 2001)*</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10.14(c)</w:t>
            </w:r>
          </w:p>
        </w:tc>
        <w:tc>
          <w:tcPr>
            <w:tcW w:w="10000" w:type="dxa"/>
            <w:vAlign w:val="bottom"/>
          </w:tcPr>
          <w:p>
            <w:pPr>
              <w:ind w:left="320"/>
              <w:spacing w:after="0"/>
              <w:rPr>
                <w:sz w:val="20"/>
                <w:szCs w:val="20"/>
                <w:color w:val="auto"/>
              </w:rPr>
            </w:pPr>
            <w:r>
              <w:rPr>
                <w:rFonts w:ascii="Arial" w:cs="Arial" w:eastAsia="Arial" w:hAnsi="Arial"/>
                <w:sz w:val="13"/>
                <w:szCs w:val="13"/>
                <w:color w:val="auto"/>
              </w:rPr>
              <w:t>Registration Rights Provisions for Stuart M. Essig (Incorporated by reference to Exhibit B of Exhibit 10.1 to the Company’s Quarterly Report on Form 10-Q for the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quarter ended September 30,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10.15(a)</w:t>
            </w:r>
          </w:p>
        </w:tc>
        <w:tc>
          <w:tcPr>
            <w:tcW w:w="10000" w:type="dxa"/>
            <w:vAlign w:val="bottom"/>
          </w:tcPr>
          <w:p>
            <w:pPr>
              <w:ind w:left="320"/>
              <w:spacing w:after="0"/>
              <w:rPr>
                <w:sz w:val="20"/>
                <w:szCs w:val="20"/>
                <w:color w:val="auto"/>
              </w:rPr>
            </w:pPr>
            <w:r>
              <w:rPr>
                <w:rFonts w:ascii="Arial" w:cs="Arial" w:eastAsia="Arial" w:hAnsi="Arial"/>
                <w:sz w:val="13"/>
                <w:szCs w:val="13"/>
                <w:color w:val="auto"/>
                <w:w w:val="99"/>
              </w:rPr>
              <w:t>Amended and Restated 2005 Employment Agreement between John B. Henneman, III and the Company dated December 19, 2005 (Incorporated by reference to Exhibit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10.16 to the Company’s Annual Report on Form 10-K for the year ended December 31, 2005)*</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10.15(b)</w:t>
            </w:r>
          </w:p>
        </w:tc>
        <w:tc>
          <w:tcPr>
            <w:tcW w:w="10000" w:type="dxa"/>
            <w:vAlign w:val="bottom"/>
          </w:tcPr>
          <w:p>
            <w:pPr>
              <w:ind w:left="320"/>
              <w:spacing w:after="0"/>
              <w:rPr>
                <w:sz w:val="20"/>
                <w:szCs w:val="20"/>
                <w:color w:val="auto"/>
              </w:rPr>
            </w:pPr>
            <w:r>
              <w:rPr>
                <w:rFonts w:ascii="Arial" w:cs="Arial" w:eastAsia="Arial" w:hAnsi="Arial"/>
                <w:sz w:val="13"/>
                <w:szCs w:val="13"/>
                <w:color w:val="auto"/>
              </w:rPr>
              <w:t>Amendment 2008-1, dated as of January 2, 2008, to the Amended and Restated 2005 Employment Agreement between John B. Henneman, III and the Company</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(Incorporated by reference to Exhibit 10.15(b) to the Company’s Annual Report on Form 10-K for the year ended December 31,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10.15(c)</w:t>
            </w:r>
          </w:p>
        </w:tc>
        <w:tc>
          <w:tcPr>
            <w:tcW w:w="10000" w:type="dxa"/>
            <w:vAlign w:val="bottom"/>
          </w:tcPr>
          <w:p>
            <w:pPr>
              <w:ind w:left="320"/>
              <w:spacing w:after="0"/>
              <w:rPr>
                <w:sz w:val="20"/>
                <w:szCs w:val="20"/>
                <w:color w:val="auto"/>
              </w:rPr>
            </w:pPr>
            <w:r>
              <w:rPr>
                <w:rFonts w:ascii="Arial" w:cs="Arial" w:eastAsia="Arial" w:hAnsi="Arial"/>
                <w:sz w:val="13"/>
                <w:szCs w:val="13"/>
                <w:color w:val="auto"/>
              </w:rPr>
              <w:t>Amendment 2008-2, dated as of December 18, 2008, to the Amended and Restated 2005 Employment Agreement between John B. Henneman, III and the Company</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(Incorporated by reference to Exhibit 10.2 to the Company’s Current Report on Form 8-K filed on December 24, 2008)*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10.15(d)</w:t>
            </w:r>
          </w:p>
        </w:tc>
        <w:tc>
          <w:tcPr>
            <w:tcW w:w="10000" w:type="dxa"/>
            <w:vAlign w:val="bottom"/>
          </w:tcPr>
          <w:p>
            <w:pPr>
              <w:ind w:left="320"/>
              <w:spacing w:after="0"/>
              <w:rPr>
                <w:sz w:val="20"/>
                <w:szCs w:val="20"/>
                <w:color w:val="auto"/>
              </w:rPr>
            </w:pPr>
            <w:r>
              <w:rPr>
                <w:rFonts w:ascii="Arial" w:cs="Arial" w:eastAsia="Arial" w:hAnsi="Arial"/>
                <w:sz w:val="13"/>
                <w:szCs w:val="13"/>
                <w:color w:val="auto"/>
              </w:rPr>
              <w:t>Amendment 2009-1, dated as of April 13, 2009, to the Amended and Restated 2005 Employment Agreement between John B. Henneman, III and the Company</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(Incorporated by reference to Exhibit 10.5 to the Company’s Current Report on Form 8-K filed on April 13, 2009)*</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10.15(e)</w:t>
            </w:r>
          </w:p>
        </w:tc>
        <w:tc>
          <w:tcPr>
            <w:tcW w:w="10000" w:type="dxa"/>
            <w:vAlign w:val="bottom"/>
          </w:tcPr>
          <w:p>
            <w:pPr>
              <w:ind w:left="320"/>
              <w:spacing w:after="0"/>
              <w:rPr>
                <w:sz w:val="20"/>
                <w:szCs w:val="20"/>
                <w:color w:val="auto"/>
              </w:rPr>
            </w:pPr>
            <w:r>
              <w:rPr>
                <w:rFonts w:ascii="Arial" w:cs="Arial" w:eastAsia="Arial" w:hAnsi="Arial"/>
                <w:sz w:val="13"/>
                <w:szCs w:val="13"/>
                <w:color w:val="auto"/>
              </w:rPr>
              <w:t>Amendment 2010-1, dated as of October 12, 2010, to the Amended and Restated 2005 Employment Agreement between John B. Henneman, III and the Company</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(Incorporated by reference to Exhibit 10.3 to the Company’s Current Report on Form 8-K filed October 12, 2010)*</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10.16(a)</w:t>
            </w:r>
          </w:p>
        </w:tc>
        <w:tc>
          <w:tcPr>
            <w:tcW w:w="10000" w:type="dxa"/>
            <w:vAlign w:val="bottom"/>
          </w:tcPr>
          <w:p>
            <w:pPr>
              <w:ind w:left="320"/>
              <w:spacing w:after="0"/>
              <w:rPr>
                <w:sz w:val="20"/>
                <w:szCs w:val="20"/>
                <w:color w:val="auto"/>
              </w:rPr>
            </w:pPr>
            <w:r>
              <w:rPr>
                <w:rFonts w:ascii="Arial" w:cs="Arial" w:eastAsia="Arial" w:hAnsi="Arial"/>
                <w:sz w:val="13"/>
                <w:szCs w:val="13"/>
                <w:color w:val="auto"/>
              </w:rPr>
              <w:t>Consulting Agreement, dated October 12, 2010, between Integra LifeSciences Holdings Corporation and Inception Surgical,(Incorporated by reference to Exhibit 10.1 to</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the Company’s Current Report on Form 8-K filed on October 12, 2010)*</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10.17</w:t>
            </w:r>
          </w:p>
        </w:tc>
        <w:tc>
          <w:tcPr>
            <w:tcW w:w="10000" w:type="dxa"/>
            <w:vAlign w:val="bottom"/>
          </w:tcPr>
          <w:p>
            <w:pPr>
              <w:ind w:left="320"/>
              <w:spacing w:after="0"/>
              <w:rPr>
                <w:sz w:val="20"/>
                <w:szCs w:val="20"/>
                <w:color w:val="auto"/>
              </w:rPr>
            </w:pPr>
            <w:r>
              <w:rPr>
                <w:rFonts w:ascii="Arial" w:cs="Arial" w:eastAsia="Arial" w:hAnsi="Arial"/>
                <w:sz w:val="13"/>
                <w:szCs w:val="13"/>
                <w:color w:val="auto"/>
              </w:rPr>
              <w:t>Severance Agreement between Judith O’Grady and the Company dated as of January 4, 2010*</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10.17(a)</w:t>
            </w:r>
          </w:p>
        </w:tc>
        <w:tc>
          <w:tcPr>
            <w:tcW w:w="10000" w:type="dxa"/>
            <w:vAlign w:val="bottom"/>
          </w:tcPr>
          <w:p>
            <w:pPr>
              <w:ind w:left="320"/>
              <w:spacing w:after="0"/>
              <w:rPr>
                <w:sz w:val="20"/>
                <w:szCs w:val="20"/>
                <w:color w:val="auto"/>
              </w:rPr>
            </w:pPr>
            <w:r>
              <w:rPr>
                <w:rFonts w:ascii="Arial" w:cs="Arial" w:eastAsia="Arial" w:hAnsi="Arial"/>
                <w:sz w:val="13"/>
                <w:szCs w:val="13"/>
                <w:color w:val="auto"/>
              </w:rPr>
              <w:t>Severance Agreement between Judith O’Grady and the Company dated as of January 3, 2011*+</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10.18</w:t>
            </w:r>
          </w:p>
        </w:tc>
        <w:tc>
          <w:tcPr>
            <w:tcW w:w="10000" w:type="dxa"/>
            <w:vAlign w:val="bottom"/>
          </w:tcPr>
          <w:p>
            <w:pPr>
              <w:ind w:left="320"/>
              <w:spacing w:after="0"/>
              <w:rPr>
                <w:sz w:val="20"/>
                <w:szCs w:val="20"/>
                <w:color w:val="auto"/>
              </w:rPr>
            </w:pPr>
            <w:r>
              <w:rPr>
                <w:rFonts w:ascii="Arial" w:cs="Arial" w:eastAsia="Arial" w:hAnsi="Arial"/>
                <w:sz w:val="13"/>
                <w:szCs w:val="13"/>
                <w:color w:val="auto"/>
              </w:rPr>
              <w:t>Employment Agreement, dated as of October 12, 2010, between Peter J. Arduini and Integra LifeSciences Holdings Corporation (Incorporated by reference to Exhibit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10.2 to the Company’s Current Report on Form 8-K filed October 12, 2010)*</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10.19</w:t>
            </w:r>
          </w:p>
        </w:tc>
        <w:tc>
          <w:tcPr>
            <w:tcW w:w="10000" w:type="dxa"/>
            <w:vAlign w:val="bottom"/>
          </w:tcPr>
          <w:p>
            <w:pPr>
              <w:ind w:left="320"/>
              <w:spacing w:after="0"/>
              <w:rPr>
                <w:sz w:val="20"/>
                <w:szCs w:val="20"/>
                <w:color w:val="auto"/>
              </w:rPr>
            </w:pPr>
            <w:r>
              <w:rPr>
                <w:rFonts w:ascii="Arial" w:cs="Arial" w:eastAsia="Arial" w:hAnsi="Arial"/>
                <w:sz w:val="13"/>
                <w:szCs w:val="13"/>
                <w:color w:val="auto"/>
                <w:w w:val="99"/>
              </w:rPr>
              <w:t>Lease Contract, dated April 1, 2005, between the Puerto Rico Industrial Development Company and Integra CI, Inc. (executed on September 15, 2006) (Incorporated by</w:t>
            </w:r>
          </w:p>
        </w:tc>
      </w:tr>
      <w:tr>
        <w:trPr>
          <w:trHeight w:val="165"/>
        </w:trPr>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reference to Exhibit 10.3 to the Company’s Quarterly Report on Form 10-Q for the quarter ended September 30, 2006)</w:t>
            </w:r>
          </w:p>
        </w:tc>
      </w:tr>
      <w:tr>
        <w:trPr>
          <w:trHeight w:val="295"/>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0" w:type="dxa"/>
            <w:vAlign w:val="bottom"/>
          </w:tcPr>
          <w:p>
            <w:pPr>
              <w:ind w:left="4160"/>
              <w:spacing w:after="0"/>
              <w:rPr>
                <w:sz w:val="20"/>
                <w:szCs w:val="20"/>
                <w:color w:val="auto"/>
              </w:rPr>
            </w:pPr>
            <w:r>
              <w:rPr>
                <w:rFonts w:ascii="Arial" w:cs="Arial" w:eastAsia="Arial" w:hAnsi="Arial"/>
                <w:sz w:val="13"/>
                <w:szCs w:val="13"/>
                <w:color w:val="auto"/>
              </w:rPr>
              <w:t>52</w:t>
            </w:r>
          </w:p>
        </w:tc>
      </w:tr>
      <w:tr>
        <w:trPr>
          <w:trHeight w:val="163"/>
        </w:trPr>
        <w:tc>
          <w:tcPr>
            <w:tcW w:w="9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80" w:type="dxa"/>
            <w:vAlign w:val="bottom"/>
          </w:tcPr>
          <w:p>
            <w:pPr>
              <w:spacing w:after="0"/>
              <w:rPr>
                <w:sz w:val="13"/>
                <w:szCs w:val="13"/>
                <w:color w:val="auto"/>
              </w:rPr>
            </w:pPr>
          </w:p>
        </w:tc>
        <w:tc>
          <w:tcPr>
            <w:tcW w:w="10000" w:type="dxa"/>
            <w:vAlign w:val="bottom"/>
          </w:tcPr>
          <w:p>
            <w:pPr>
              <w:spacing w:after="0"/>
              <w:rPr>
                <w:sz w:val="13"/>
                <w:szCs w:val="13"/>
                <w:color w:val="auto"/>
              </w:rPr>
            </w:pPr>
          </w:p>
        </w:tc>
      </w:tr>
      <w:tr>
        <w:trPr>
          <w:trHeight w:val="384"/>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10.20(a)</w:t>
            </w:r>
          </w:p>
        </w:tc>
        <w:tc>
          <w:tcPr>
            <w:tcW w:w="10000" w:type="dxa"/>
            <w:vAlign w:val="bottom"/>
          </w:tcPr>
          <w:p>
            <w:pPr>
              <w:ind w:left="320"/>
              <w:spacing w:after="0"/>
              <w:rPr>
                <w:sz w:val="20"/>
                <w:szCs w:val="20"/>
                <w:color w:val="auto"/>
              </w:rPr>
            </w:pPr>
            <w:r>
              <w:rPr>
                <w:rFonts w:ascii="Arial" w:cs="Arial" w:eastAsia="Arial" w:hAnsi="Arial"/>
                <w:sz w:val="13"/>
                <w:szCs w:val="13"/>
                <w:color w:val="auto"/>
              </w:rPr>
              <w:t>Industrial Real Estate Triple Net Sublease dated July 1, 2001 between Sorrento Montana, L.P. and Camino NeuroCare, Inc. (Incorporated by reference to Exhibit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10.24(a) to the Company’s Annual Report on Form 10-K for the year ended December 31,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10.20(b)</w:t>
            </w:r>
          </w:p>
        </w:tc>
        <w:tc>
          <w:tcPr>
            <w:tcW w:w="10000" w:type="dxa"/>
            <w:vAlign w:val="bottom"/>
          </w:tcPr>
          <w:p>
            <w:pPr>
              <w:ind w:left="320"/>
              <w:spacing w:after="0"/>
              <w:rPr>
                <w:sz w:val="20"/>
                <w:szCs w:val="20"/>
                <w:color w:val="auto"/>
              </w:rPr>
            </w:pPr>
            <w:r>
              <w:rPr>
                <w:rFonts w:ascii="Arial" w:cs="Arial" w:eastAsia="Arial" w:hAnsi="Arial"/>
                <w:sz w:val="13"/>
                <w:szCs w:val="13"/>
                <w:color w:val="auto"/>
              </w:rPr>
              <w:t>First Amendment to Sublease dated as of July 1, 2003 by and between Sorrento Montana, L.P. and Camino NeuroCare, Inc. (Incorporated by reference to Exhibit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10.24(b) to the Company’s Annual Report on Form 10-K for the year ended December 31,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10.20(c)</w:t>
            </w:r>
          </w:p>
        </w:tc>
        <w:tc>
          <w:tcPr>
            <w:tcW w:w="10000" w:type="dxa"/>
            <w:vAlign w:val="bottom"/>
          </w:tcPr>
          <w:p>
            <w:pPr>
              <w:ind w:left="320"/>
              <w:spacing w:after="0"/>
              <w:rPr>
                <w:sz w:val="20"/>
                <w:szCs w:val="20"/>
                <w:color w:val="auto"/>
              </w:rPr>
            </w:pPr>
            <w:r>
              <w:rPr>
                <w:rFonts w:ascii="Arial" w:cs="Arial" w:eastAsia="Arial" w:hAnsi="Arial"/>
                <w:sz w:val="13"/>
                <w:szCs w:val="13"/>
                <w:color w:val="auto"/>
              </w:rPr>
              <w:t>Second Amendment to Sublease dated as of June 1, 2004 by and between Sorrento Montana, L.P. and Camino NeuroCare, Inc. (Incorporated by reference to Exhibit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10.24(c) to the Company’s Annual Report on Form 10-K for the year ended December 31,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10.20(d)</w:t>
            </w:r>
          </w:p>
        </w:tc>
        <w:tc>
          <w:tcPr>
            <w:tcW w:w="10000" w:type="dxa"/>
            <w:vAlign w:val="bottom"/>
          </w:tcPr>
          <w:p>
            <w:pPr>
              <w:ind w:left="320"/>
              <w:spacing w:after="0"/>
              <w:rPr>
                <w:sz w:val="20"/>
                <w:szCs w:val="20"/>
                <w:color w:val="auto"/>
              </w:rPr>
            </w:pPr>
            <w:r>
              <w:rPr>
                <w:rFonts w:ascii="Arial" w:cs="Arial" w:eastAsia="Arial" w:hAnsi="Arial"/>
                <w:sz w:val="13"/>
                <w:szCs w:val="13"/>
                <w:color w:val="auto"/>
              </w:rPr>
              <w:t>Third Amendment to Sublease dated as of June 15, 2004 by and between Sorrento Montana, L.P. and Integra LifeSciences Corporation (Incorporated by reference to</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Exhibit 10.24(d) to the Company’s Annual Report on Form 10-K for the year ended December 31,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10.20(e)</w:t>
            </w:r>
          </w:p>
        </w:tc>
        <w:tc>
          <w:tcPr>
            <w:tcW w:w="10000" w:type="dxa"/>
            <w:vAlign w:val="bottom"/>
          </w:tcPr>
          <w:p>
            <w:pPr>
              <w:ind w:left="320"/>
              <w:spacing w:after="0"/>
              <w:rPr>
                <w:sz w:val="20"/>
                <w:szCs w:val="20"/>
                <w:color w:val="auto"/>
              </w:rPr>
            </w:pPr>
            <w:r>
              <w:rPr>
                <w:rFonts w:ascii="Arial" w:cs="Arial" w:eastAsia="Arial" w:hAnsi="Arial"/>
                <w:sz w:val="13"/>
                <w:szCs w:val="13"/>
                <w:color w:val="auto"/>
              </w:rPr>
              <w:t>Fourth Amendment to Sublease, dated as of August 15, 2006, by and between Sorrento Montana, L.P. and Integra LifeSciences Corporation (Incorporated by reference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to Exhibit 10.1 to the Company’s Current Report on Form 8-K filed on August 17, 2006)</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10.21</w:t>
            </w:r>
          </w:p>
        </w:tc>
        <w:tc>
          <w:tcPr>
            <w:tcW w:w="10000" w:type="dxa"/>
            <w:vAlign w:val="bottom"/>
          </w:tcPr>
          <w:p>
            <w:pPr>
              <w:ind w:left="320"/>
              <w:spacing w:after="0"/>
              <w:rPr>
                <w:sz w:val="20"/>
                <w:szCs w:val="20"/>
                <w:color w:val="auto"/>
              </w:rPr>
            </w:pPr>
            <w:r>
              <w:rPr>
                <w:rFonts w:ascii="Arial" w:cs="Arial" w:eastAsia="Arial" w:hAnsi="Arial"/>
                <w:sz w:val="13"/>
                <w:szCs w:val="13"/>
                <w:color w:val="auto"/>
              </w:rPr>
              <w:t>Restricted Units Agreement dated December 27, 1997 between the Company and Stuart M. Essig (Incorporated by reference to Exhibit 10.3 to the Company’s Current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Report on Form 8-K filed on February 3, 1998)*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10.22</w:t>
            </w:r>
          </w:p>
        </w:tc>
        <w:tc>
          <w:tcPr>
            <w:tcW w:w="10000" w:type="dxa"/>
            <w:vAlign w:val="bottom"/>
          </w:tcPr>
          <w:p>
            <w:pPr>
              <w:ind w:left="320"/>
              <w:spacing w:after="0"/>
              <w:rPr>
                <w:sz w:val="20"/>
                <w:szCs w:val="20"/>
                <w:color w:val="auto"/>
              </w:rPr>
            </w:pPr>
            <w:r>
              <w:rPr>
                <w:rFonts w:ascii="Arial" w:cs="Arial" w:eastAsia="Arial" w:hAnsi="Arial"/>
                <w:sz w:val="13"/>
                <w:szCs w:val="13"/>
                <w:color w:val="auto"/>
              </w:rPr>
              <w:t>Stock Option Grant and Agreement dated December 22, 2000 between the Company and Stuart M. Essig (Incorporated by reference to Exhibit 4.1 to the Company’s</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Current Report on Form 8-K filed on January 8, 2001)*</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10.23</w:t>
            </w:r>
          </w:p>
        </w:tc>
        <w:tc>
          <w:tcPr>
            <w:tcW w:w="10000" w:type="dxa"/>
            <w:vAlign w:val="bottom"/>
          </w:tcPr>
          <w:p>
            <w:pPr>
              <w:ind w:left="320"/>
              <w:spacing w:after="0"/>
              <w:rPr>
                <w:sz w:val="20"/>
                <w:szCs w:val="20"/>
                <w:color w:val="auto"/>
              </w:rPr>
            </w:pPr>
            <w:r>
              <w:rPr>
                <w:rFonts w:ascii="Arial" w:cs="Arial" w:eastAsia="Arial" w:hAnsi="Arial"/>
                <w:sz w:val="13"/>
                <w:szCs w:val="13"/>
                <w:color w:val="auto"/>
              </w:rPr>
              <w:t>Stock Option Grant and Agreement dated December 22, 2000 between the Company and Stuart M. Essig (Incorporated by reference to Exhibit 4.2 to the Company’s</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Current Report on Form 8-K filed on January 8, 2001)*</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10.24(a)</w:t>
            </w:r>
          </w:p>
        </w:tc>
        <w:tc>
          <w:tcPr>
            <w:tcW w:w="10000" w:type="dxa"/>
            <w:vAlign w:val="bottom"/>
          </w:tcPr>
          <w:p>
            <w:pPr>
              <w:ind w:left="320"/>
              <w:spacing w:after="0"/>
              <w:rPr>
                <w:sz w:val="20"/>
                <w:szCs w:val="20"/>
                <w:color w:val="auto"/>
              </w:rPr>
            </w:pPr>
            <w:r>
              <w:rPr>
                <w:rFonts w:ascii="Arial" w:cs="Arial" w:eastAsia="Arial" w:hAnsi="Arial"/>
                <w:sz w:val="13"/>
                <w:szCs w:val="13"/>
                <w:color w:val="auto"/>
              </w:rPr>
              <w:t>Restricted Units Agreement dated December 22, 2000 Between the Company and Stuart M. Essig (Incorporated by reference to Exhibit 4.3 to the Company’s Current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Report on Form 8-K filed on January 8, 2001)*</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10.24(b)</w:t>
            </w:r>
          </w:p>
        </w:tc>
        <w:tc>
          <w:tcPr>
            <w:tcW w:w="10000" w:type="dxa"/>
            <w:vAlign w:val="bottom"/>
          </w:tcPr>
          <w:p>
            <w:pPr>
              <w:ind w:left="320"/>
              <w:spacing w:after="0"/>
              <w:rPr>
                <w:sz w:val="20"/>
                <w:szCs w:val="20"/>
                <w:color w:val="auto"/>
              </w:rPr>
            </w:pPr>
            <w:r>
              <w:rPr>
                <w:rFonts w:ascii="Arial" w:cs="Arial" w:eastAsia="Arial" w:hAnsi="Arial"/>
                <w:sz w:val="13"/>
                <w:szCs w:val="13"/>
                <w:color w:val="auto"/>
              </w:rPr>
              <w:t>Amendment 2006-1, dated as of October 30, 2006, to the Stuart M. Essig Restricted Units Agreement dated as of December 22, 2000 (Incorporated by reference to</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Exhibit 10.1 to the Company’s Current Report on Form 8-K filed on November 3, 2006)*</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10.25</w:t>
            </w:r>
          </w:p>
        </w:tc>
        <w:tc>
          <w:tcPr>
            <w:tcW w:w="10000" w:type="dxa"/>
            <w:vAlign w:val="bottom"/>
          </w:tcPr>
          <w:p>
            <w:pPr>
              <w:ind w:left="320"/>
              <w:spacing w:after="0"/>
              <w:rPr>
                <w:sz w:val="20"/>
                <w:szCs w:val="20"/>
                <w:color w:val="auto"/>
              </w:rPr>
            </w:pPr>
            <w:r>
              <w:rPr>
                <w:rFonts w:ascii="Arial" w:cs="Arial" w:eastAsia="Arial" w:hAnsi="Arial"/>
                <w:sz w:val="13"/>
                <w:szCs w:val="13"/>
                <w:color w:val="auto"/>
              </w:rPr>
              <w:t>Stock Option Grant and Agreement dated July 27, 2004 between the Company and Stuart M. Essig (Incorporated by reference to Exhibit 10.30 to the Company’s</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Annual Report on Form 10-K for the year ended December 31,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10.26(a)</w:t>
            </w:r>
          </w:p>
        </w:tc>
        <w:tc>
          <w:tcPr>
            <w:tcW w:w="10000" w:type="dxa"/>
            <w:vAlign w:val="bottom"/>
          </w:tcPr>
          <w:p>
            <w:pPr>
              <w:ind w:left="320"/>
              <w:spacing w:after="0"/>
              <w:rPr>
                <w:sz w:val="20"/>
                <w:szCs w:val="20"/>
                <w:color w:val="auto"/>
              </w:rPr>
            </w:pPr>
            <w:r>
              <w:rPr>
                <w:rFonts w:ascii="Arial" w:cs="Arial" w:eastAsia="Arial" w:hAnsi="Arial"/>
                <w:sz w:val="13"/>
                <w:szCs w:val="13"/>
                <w:color w:val="auto"/>
              </w:rPr>
              <w:t>Contract Stock/Restricted Units Agreement dated July 27, 2004 between the Company and Stuart M. Essig (Incorporated by reference to Exhibit 10.31 to the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Company’s Annual Report on Form 10-K for the year ended December 31,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10.26(b)</w:t>
            </w:r>
          </w:p>
        </w:tc>
        <w:tc>
          <w:tcPr>
            <w:tcW w:w="10000" w:type="dxa"/>
            <w:vAlign w:val="bottom"/>
          </w:tcPr>
          <w:p>
            <w:pPr>
              <w:ind w:left="320"/>
              <w:spacing w:after="0"/>
              <w:rPr>
                <w:sz w:val="20"/>
                <w:szCs w:val="20"/>
                <w:color w:val="auto"/>
              </w:rPr>
            </w:pPr>
            <w:r>
              <w:rPr>
                <w:rFonts w:ascii="Arial" w:cs="Arial" w:eastAsia="Arial" w:hAnsi="Arial"/>
                <w:sz w:val="13"/>
                <w:szCs w:val="13"/>
                <w:color w:val="auto"/>
              </w:rPr>
              <w:t>Amendment 2006-1, dated as of October 30, 2006, to the Stuart M. Essig Contract Stock/Restricted Units Agreement dated as of July 27, 2004 (Incorporated by</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reference to Exhibit 10.2 to the Company’s Current Report on Form 8-K filed on November 3, 2006)*</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10.26(c)</w:t>
            </w:r>
          </w:p>
        </w:tc>
        <w:tc>
          <w:tcPr>
            <w:tcW w:w="10000" w:type="dxa"/>
            <w:vAlign w:val="bottom"/>
          </w:tcPr>
          <w:p>
            <w:pPr>
              <w:ind w:left="320"/>
              <w:spacing w:after="0"/>
              <w:rPr>
                <w:sz w:val="20"/>
                <w:szCs w:val="20"/>
                <w:color w:val="auto"/>
              </w:rPr>
            </w:pPr>
            <w:r>
              <w:rPr>
                <w:rFonts w:ascii="Arial" w:cs="Arial" w:eastAsia="Arial" w:hAnsi="Arial"/>
                <w:sz w:val="13"/>
                <w:szCs w:val="13"/>
                <w:color w:val="auto"/>
              </w:rPr>
              <w:t>Amendment 2008-1, dated as of March 6, 2008, to the Stuart M. Essig Contract Stock/Restricted Units Agreement dated as of July 27, 2004 (Incorporated by reference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to Exhibit 10.25(c) to the Company’s Annual Report on Form 10-K for the year ended December 31,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10.27</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Stock Option Grant and Agreement between the Company and Stuart M. Essig (Incorporated by reference to Exhibit 10.32 to the Company’s Annual Report on</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Form 10-K for the year ended December 31,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10.28(a)</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Contract Stock/Restricted Units Agreement for Stuart M. Essig (Incorporated by reference to Exhibit 10.8 to the Company’s Quarterly Report on Form 10-Q for</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the quarter ended June 30, 2008)*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10.28(b)</w:t>
            </w:r>
          </w:p>
        </w:tc>
        <w:tc>
          <w:tcPr>
            <w:tcW w:w="10000" w:type="dxa"/>
            <w:vAlign w:val="bottom"/>
          </w:tcPr>
          <w:p>
            <w:pPr>
              <w:ind w:left="320"/>
              <w:spacing w:after="0"/>
              <w:rPr>
                <w:sz w:val="20"/>
                <w:szCs w:val="20"/>
                <w:color w:val="auto"/>
              </w:rPr>
            </w:pPr>
            <w:r>
              <w:rPr>
                <w:rFonts w:ascii="Arial" w:cs="Arial" w:eastAsia="Arial" w:hAnsi="Arial"/>
                <w:sz w:val="13"/>
                <w:szCs w:val="13"/>
                <w:color w:val="auto"/>
              </w:rPr>
              <w:t>New Form of Contract Stock/Restricted Units Agreement (for Annual Equity Awards) for Stuart M. Essig*+</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10.29</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Performance Stock Agreement for Stuart M. Essig (Incorporated by reference to Exhibit 10.9 to the Company’s Quarterly Report on Form 10-Q for the quarter</w:t>
            </w:r>
          </w:p>
        </w:tc>
      </w:tr>
      <w:tr>
        <w:trPr>
          <w:trHeight w:val="165"/>
        </w:trPr>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ended June 30, 2008)*</w:t>
            </w:r>
          </w:p>
        </w:tc>
      </w:tr>
      <w:tr>
        <w:trPr>
          <w:trHeight w:val="295"/>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0" w:type="dxa"/>
            <w:vAlign w:val="bottom"/>
          </w:tcPr>
          <w:p>
            <w:pPr>
              <w:ind w:left="4160"/>
              <w:spacing w:after="0"/>
              <w:rPr>
                <w:sz w:val="20"/>
                <w:szCs w:val="20"/>
                <w:color w:val="auto"/>
              </w:rPr>
            </w:pPr>
            <w:r>
              <w:rPr>
                <w:rFonts w:ascii="Arial" w:cs="Arial" w:eastAsia="Arial" w:hAnsi="Arial"/>
                <w:sz w:val="13"/>
                <w:szCs w:val="13"/>
                <w:color w:val="auto"/>
              </w:rPr>
              <w:t>53</w:t>
            </w:r>
          </w:p>
        </w:tc>
      </w:tr>
      <w:tr>
        <w:trPr>
          <w:trHeight w:val="163"/>
        </w:trPr>
        <w:tc>
          <w:tcPr>
            <w:tcW w:w="9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80" w:type="dxa"/>
            <w:vAlign w:val="bottom"/>
          </w:tcPr>
          <w:p>
            <w:pPr>
              <w:spacing w:after="0"/>
              <w:rPr>
                <w:sz w:val="13"/>
                <w:szCs w:val="13"/>
                <w:color w:val="auto"/>
              </w:rPr>
            </w:pPr>
          </w:p>
        </w:tc>
        <w:tc>
          <w:tcPr>
            <w:tcW w:w="10000" w:type="dxa"/>
            <w:vAlign w:val="bottom"/>
          </w:tcPr>
          <w:p>
            <w:pPr>
              <w:spacing w:after="0"/>
              <w:rPr>
                <w:sz w:val="13"/>
                <w:szCs w:val="13"/>
                <w:color w:val="auto"/>
              </w:rPr>
            </w:pPr>
          </w:p>
        </w:tc>
      </w:tr>
      <w:tr>
        <w:trPr>
          <w:trHeight w:val="384"/>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10.30</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Restricted Stock Agreement for Stuart M. Essig for 2009 (Incorporated by reference to Exhibit 10.3 to the Company’s Current Report on Form 8-K filed April</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13, 2009)*</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10.31</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Notice of Grant of Stock Option and Stock Option Agreement (Incorporated by reference to Exhibit 10.1 to the Company’s Current Report on Form 8-K filed</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on July 29, 2005)*</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10.32</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Non-Qualified Stock Option Agreement (Non-Directors) (Incorporated by reference to Exhibit 10.35 to the Company’s Annual Report on Form 10-K for the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year ended December 31,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10.33</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Incentive Stock Option Agreement (Incorporated by reference to Exhibit 10.36 to the Company’s Annual Report on Form 10-K for the year ended December</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31,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10.34</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Non-Qualified Stock Option Agreement (Directors) (Incorporated by reference to Exhibit 10.37 to the Company’s Annual Report on Form 10-K for the year</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ended December 31, 2004)*</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10.35(a)</w:t>
            </w:r>
          </w:p>
        </w:tc>
        <w:tc>
          <w:tcPr>
            <w:tcW w:w="10000" w:type="dxa"/>
            <w:vAlign w:val="bottom"/>
          </w:tcPr>
          <w:p>
            <w:pPr>
              <w:ind w:left="320"/>
              <w:spacing w:after="0"/>
              <w:rPr>
                <w:sz w:val="20"/>
                <w:szCs w:val="20"/>
                <w:color w:val="auto"/>
              </w:rPr>
            </w:pPr>
            <w:r>
              <w:rPr>
                <w:rFonts w:ascii="Arial" w:cs="Arial" w:eastAsia="Arial" w:hAnsi="Arial"/>
                <w:sz w:val="13"/>
                <w:szCs w:val="13"/>
                <w:color w:val="auto"/>
              </w:rPr>
              <w:t>Compensation of Directors of the Company effective July 9, 2008 (Incorporated by reference to Exhibit 10.1 to the Company’s Current Report on Form 8-K filed on</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July 11, 2008)*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10.35(b)</w:t>
            </w:r>
          </w:p>
        </w:tc>
        <w:tc>
          <w:tcPr>
            <w:tcW w:w="10000" w:type="dxa"/>
            <w:vAlign w:val="bottom"/>
          </w:tcPr>
          <w:p>
            <w:pPr>
              <w:ind w:left="320"/>
              <w:spacing w:after="0"/>
              <w:rPr>
                <w:sz w:val="20"/>
                <w:szCs w:val="20"/>
                <w:color w:val="auto"/>
              </w:rPr>
            </w:pPr>
            <w:r>
              <w:rPr>
                <w:rFonts w:ascii="Arial" w:cs="Arial" w:eastAsia="Arial" w:hAnsi="Arial"/>
                <w:sz w:val="13"/>
                <w:szCs w:val="13"/>
                <w:color w:val="auto"/>
              </w:rPr>
              <w:t>Compensation of Directors of the Company effective May 17, 2011 (Incorporated by reference to Exhibit 10.1 to the Company’s Current Report on Form 8-K filed on</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December 16, 2010)*</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10.36(a)</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Restricted Stock Agreement for Non-Employee Directors under the Integra LifeSciences Holdings Corporation 2003 Equity Incentive Plan (Incorporated by</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reference to Exhibit 10.2 to the Company’s Current Report on Form 8-K filed on May 17, 2005)*</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10.36(b)</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Restricted Stock Agreement for Non-Employee Directors under the Integra LifeSciences Holdings Corporation 2003 Equity Incentive Plan (Incorporated by</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reference to Exhibit 10.4 to the Company’s Quarterly Report on Form 10-Q for the quarter ended June 30, 2008*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10.36(c)</w:t>
            </w:r>
          </w:p>
        </w:tc>
        <w:tc>
          <w:tcPr>
            <w:tcW w:w="10000" w:type="dxa"/>
            <w:vAlign w:val="bottom"/>
          </w:tcPr>
          <w:p>
            <w:pPr>
              <w:ind w:left="320"/>
              <w:spacing w:after="0"/>
              <w:rPr>
                <w:sz w:val="20"/>
                <w:szCs w:val="20"/>
                <w:color w:val="auto"/>
              </w:rPr>
            </w:pPr>
            <w:r>
              <w:rPr>
                <w:rFonts w:ascii="Arial" w:cs="Arial" w:eastAsia="Arial" w:hAnsi="Arial"/>
                <w:sz w:val="13"/>
                <w:szCs w:val="13"/>
                <w:color w:val="auto"/>
              </w:rPr>
              <w:t>New Form of Restricted Stock Agreement for Non-Employee Directors under the Integra LifeSciences Holdings Corporation 2003 Equity Incentive Plan (Incorporated</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by reference to Exhibit 10.1 to the Company’s Current Report on Form 8-K filed on April 13, 2009)*</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10.37(a)</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Restricted Stock Agreement for Executive Officers — Cliff Vesting (Incorporated by reference to Exhibit 10.1 to the Company’s Current Report on Form 8-K</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filed on January 9, 2006)*</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10.37(b)</w:t>
            </w:r>
          </w:p>
        </w:tc>
        <w:tc>
          <w:tcPr>
            <w:tcW w:w="10000" w:type="dxa"/>
            <w:vAlign w:val="bottom"/>
          </w:tcPr>
          <w:p>
            <w:pPr>
              <w:ind w:left="320"/>
              <w:spacing w:after="0"/>
              <w:rPr>
                <w:sz w:val="20"/>
                <w:szCs w:val="20"/>
                <w:color w:val="auto"/>
              </w:rPr>
            </w:pPr>
            <w:r>
              <w:rPr>
                <w:rFonts w:ascii="Arial" w:cs="Arial" w:eastAsia="Arial" w:hAnsi="Arial"/>
                <w:sz w:val="13"/>
                <w:szCs w:val="13"/>
                <w:color w:val="auto"/>
              </w:rPr>
              <w:t>New Form of Restricted Stock Agreement for Executive Officers — Annual Vesting (Incorporated by reference to Exhibit 10.1 to the Company’s Current Report on</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Form 8-K filed on February 25, 2009)*</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10.37(c)</w:t>
            </w:r>
          </w:p>
        </w:tc>
        <w:tc>
          <w:tcPr>
            <w:tcW w:w="10000" w:type="dxa"/>
            <w:vAlign w:val="bottom"/>
          </w:tcPr>
          <w:p>
            <w:pPr>
              <w:ind w:left="320"/>
              <w:spacing w:after="0"/>
              <w:rPr>
                <w:sz w:val="20"/>
                <w:szCs w:val="20"/>
                <w:color w:val="auto"/>
              </w:rPr>
            </w:pPr>
            <w:r>
              <w:rPr>
                <w:rFonts w:ascii="Arial" w:cs="Arial" w:eastAsia="Arial" w:hAnsi="Arial"/>
                <w:sz w:val="13"/>
                <w:szCs w:val="13"/>
                <w:color w:val="auto"/>
              </w:rPr>
              <w:t>New Form of Restricted Stock Agreement with Cliff Vesting for Executive Officers (Incorporated by reference to Exhibit 10.8 to the Company’s Quarter Report on</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Form 10-Q for the quarter ended March 31, 2009)*</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10.37(d)</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Restricted Stock Agreement for Messrs. Carlozzi and Henneman for 2008 and 2009 (Incorporated by reference to Exhibit 10.6 to the Company’s Current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Report on Form 8-K filed on April 13, 2009)*</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10.37(e)</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Contract Stock/Restricted Units Agreement (for Signing Grant) for Mr. Arduini (Incorporated by reference to Exhibit 10.4 to the Company’s Current Report on</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Form 8-K filed on October 12, 2010)*</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10.37(f)</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Contract Stock/Restricted Units Agreement (for Annual Equity Awards) for Mr. Arduini (Incorporated by reference to Exhibit 10.5 to the Company’s Current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Report on Form 8-K filed on October 12, 2010)*</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10.37(g)</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Non-Qualified Stock Option Agreement for Mr. Arduini (Incorporated by reference to Exhibit 10.6 to the Company’s Current Report on Form 8-K filed on</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October 12, 2010)*</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10.37(h)</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Restricted Stock Agreement for Mr. Henneman (Incorporated by reference to Exhibit 10.7 to the Company’s Current Report on Form 8-K filed on October 12,</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2010)*</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10.38</w:t>
            </w:r>
          </w:p>
        </w:tc>
        <w:tc>
          <w:tcPr>
            <w:tcW w:w="10000" w:type="dxa"/>
            <w:vAlign w:val="bottom"/>
          </w:tcPr>
          <w:p>
            <w:pPr>
              <w:ind w:left="320"/>
              <w:spacing w:after="0"/>
              <w:rPr>
                <w:sz w:val="20"/>
                <w:szCs w:val="20"/>
                <w:color w:val="auto"/>
              </w:rPr>
            </w:pPr>
            <w:r>
              <w:rPr>
                <w:rFonts w:ascii="Arial" w:cs="Arial" w:eastAsia="Arial" w:hAnsi="Arial"/>
                <w:sz w:val="13"/>
                <w:szCs w:val="13"/>
                <w:color w:val="auto"/>
              </w:rPr>
              <w:t>Asset Purchase Agreement, dated as of September 7, 2005, by and between Tyco Healthcare Group LP and Sherwood Services, AG and Integra LifeSciences</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Corporation and Integra LifeSciences (Ireland) Limited (Incorporated by reference to Exhibit 10.1 to the Company’s Current Report on Form 8-K filed on September 13,</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2005)</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10.39</w:t>
            </w:r>
          </w:p>
        </w:tc>
        <w:tc>
          <w:tcPr>
            <w:tcW w:w="10000" w:type="dxa"/>
            <w:vAlign w:val="bottom"/>
          </w:tcPr>
          <w:p>
            <w:pPr>
              <w:ind w:left="320"/>
              <w:spacing w:after="0"/>
              <w:rPr>
                <w:sz w:val="20"/>
                <w:szCs w:val="20"/>
                <w:color w:val="auto"/>
              </w:rPr>
            </w:pPr>
            <w:r>
              <w:rPr>
                <w:rFonts w:ascii="Arial" w:cs="Arial" w:eastAsia="Arial" w:hAnsi="Arial"/>
                <w:sz w:val="13"/>
                <w:szCs w:val="13"/>
                <w:color w:val="auto"/>
              </w:rPr>
              <w:t>Performance Stock Agreement by and between John B. Henneman, III and the Company dated January 3, 2006 (Incorporated by reference to Exhibit 10.42 to the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Company’s Annual Report on Form 10-K for the year ended December 31, 2005)*</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10.40</w:t>
            </w:r>
          </w:p>
        </w:tc>
        <w:tc>
          <w:tcPr>
            <w:tcW w:w="10000" w:type="dxa"/>
            <w:vAlign w:val="bottom"/>
          </w:tcPr>
          <w:p>
            <w:pPr>
              <w:ind w:left="320"/>
              <w:spacing w:after="0"/>
              <w:rPr>
                <w:sz w:val="20"/>
                <w:szCs w:val="20"/>
                <w:color w:val="auto"/>
              </w:rPr>
            </w:pPr>
            <w:r>
              <w:rPr>
                <w:rFonts w:ascii="Arial" w:cs="Arial" w:eastAsia="Arial" w:hAnsi="Arial"/>
                <w:sz w:val="13"/>
                <w:szCs w:val="13"/>
                <w:color w:val="auto"/>
              </w:rPr>
              <w:t>Performance Stock Agreement by and between Gerard S. Carlozzi and the Company dated January 3, 2006 (Incorporated by reference to Exhibit 10.43 to the</w:t>
            </w:r>
          </w:p>
        </w:tc>
      </w:tr>
      <w:tr>
        <w:trPr>
          <w:trHeight w:val="165"/>
        </w:trPr>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Company’s Annual Report on Form 10-K for the year ended December 31, 2005)*</w:t>
            </w:r>
          </w:p>
        </w:tc>
      </w:tr>
      <w:tr>
        <w:trPr>
          <w:trHeight w:val="295"/>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0" w:type="dxa"/>
            <w:vAlign w:val="bottom"/>
          </w:tcPr>
          <w:p>
            <w:pPr>
              <w:ind w:left="4160"/>
              <w:spacing w:after="0"/>
              <w:rPr>
                <w:sz w:val="20"/>
                <w:szCs w:val="20"/>
                <w:color w:val="auto"/>
              </w:rPr>
            </w:pPr>
            <w:r>
              <w:rPr>
                <w:rFonts w:ascii="Arial" w:cs="Arial" w:eastAsia="Arial" w:hAnsi="Arial"/>
                <w:sz w:val="13"/>
                <w:szCs w:val="13"/>
                <w:color w:val="auto"/>
              </w:rPr>
              <w:t>54</w:t>
            </w:r>
          </w:p>
        </w:tc>
      </w:tr>
      <w:tr>
        <w:trPr>
          <w:trHeight w:val="163"/>
        </w:trPr>
        <w:tc>
          <w:tcPr>
            <w:tcW w:w="9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80" w:type="dxa"/>
            <w:vAlign w:val="bottom"/>
          </w:tcPr>
          <w:p>
            <w:pPr>
              <w:spacing w:after="0"/>
              <w:rPr>
                <w:sz w:val="13"/>
                <w:szCs w:val="13"/>
                <w:color w:val="auto"/>
              </w:rPr>
            </w:pPr>
          </w:p>
        </w:tc>
        <w:tc>
          <w:tcPr>
            <w:tcW w:w="10000" w:type="dxa"/>
            <w:vAlign w:val="bottom"/>
          </w:tcPr>
          <w:p>
            <w:pPr>
              <w:spacing w:after="0"/>
              <w:rPr>
                <w:sz w:val="13"/>
                <w:szCs w:val="13"/>
                <w:color w:val="auto"/>
              </w:rPr>
            </w:pPr>
          </w:p>
        </w:tc>
      </w:tr>
      <w:tr>
        <w:trPr>
          <w:trHeight w:val="384"/>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10.41(a)</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Performance Stock Agreement for Gerard S. Carlozzi and John B. Henneman, III (Incorporated by reference to Exhibit 10.1 to the Company’s Current Report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on Form 8-K filed on March 21,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10.41(b)</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Performance Stock Agreement for Gerard S. Carlozzi and John B. Henneman, III (Incorporated by reference to Exhibit 10.37(b) to the Company’s Annual</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Report on Form 10-K for the year ended December 31,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10.42</w:t>
            </w:r>
          </w:p>
        </w:tc>
        <w:tc>
          <w:tcPr>
            <w:tcW w:w="10000" w:type="dxa"/>
            <w:vAlign w:val="bottom"/>
          </w:tcPr>
          <w:p>
            <w:pPr>
              <w:ind w:left="320"/>
              <w:spacing w:after="0"/>
              <w:rPr>
                <w:sz w:val="20"/>
                <w:szCs w:val="20"/>
                <w:color w:val="auto"/>
              </w:rPr>
            </w:pPr>
            <w:r>
              <w:rPr>
                <w:rFonts w:ascii="Arial" w:cs="Arial" w:eastAsia="Arial" w:hAnsi="Arial"/>
                <w:sz w:val="13"/>
                <w:szCs w:val="13"/>
                <w:color w:val="auto"/>
              </w:rPr>
              <w:t>Stock Purchase Agreement, dated as of April 19, 2006, by and between ASP/Miltex LLC and Integra LifeSciences Corporation (Incorporated by reference to Exhibit</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10.1 to the Company’s Current Report on Form 8-K filed on April 25, 2006)</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10.43</w:t>
            </w:r>
          </w:p>
        </w:tc>
        <w:tc>
          <w:tcPr>
            <w:tcW w:w="10000" w:type="dxa"/>
            <w:vAlign w:val="bottom"/>
          </w:tcPr>
          <w:p>
            <w:pPr>
              <w:ind w:left="320"/>
              <w:spacing w:after="0"/>
              <w:rPr>
                <w:sz w:val="20"/>
                <w:szCs w:val="20"/>
                <w:color w:val="auto"/>
              </w:rPr>
            </w:pPr>
            <w:r>
              <w:rPr>
                <w:rFonts w:ascii="Arial" w:cs="Arial" w:eastAsia="Arial" w:hAnsi="Arial"/>
                <w:sz w:val="13"/>
                <w:szCs w:val="13"/>
                <w:color w:val="auto"/>
              </w:rPr>
              <w:t>Stock Agreement and Plan of Merger, dated as of June 30, 2006, by and between Integra LifeSciences Corporation, Integra California, Inc., Kinetikos Medical, Inc.,</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Telegraph Hill Partners Management LLC, as Shareholders Representative, and the Shareholders party thereto (Incorporated by reference to Exhibit 10.1 to the</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Company’s Current Report on Form 8-K filed on July 7, 2006)</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10.44(a)</w:t>
            </w:r>
          </w:p>
        </w:tc>
        <w:tc>
          <w:tcPr>
            <w:tcW w:w="10000" w:type="dxa"/>
            <w:vAlign w:val="bottom"/>
          </w:tcPr>
          <w:p>
            <w:pPr>
              <w:ind w:left="320"/>
              <w:spacing w:after="0"/>
              <w:rPr>
                <w:sz w:val="20"/>
                <w:szCs w:val="20"/>
                <w:color w:val="auto"/>
              </w:rPr>
            </w:pPr>
            <w:r>
              <w:rPr>
                <w:rFonts w:ascii="Arial" w:cs="Arial" w:eastAsia="Arial" w:hAnsi="Arial"/>
                <w:sz w:val="13"/>
                <w:szCs w:val="13"/>
                <w:color w:val="auto"/>
              </w:rPr>
              <w:t>Integra LifeSciences Holdings Corporation Management Incentive Compensation Plan (Incorporated by reference to Exhibit 10.1 to the Company’s Quarterly Report on</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Form 10-Q for the quarter ended September 30, 2006)*</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10.44(b)</w:t>
            </w:r>
          </w:p>
        </w:tc>
        <w:tc>
          <w:tcPr>
            <w:tcW w:w="10000" w:type="dxa"/>
            <w:vAlign w:val="bottom"/>
          </w:tcPr>
          <w:p>
            <w:pPr>
              <w:ind w:left="320"/>
              <w:spacing w:after="0"/>
              <w:rPr>
                <w:sz w:val="20"/>
                <w:szCs w:val="20"/>
                <w:color w:val="auto"/>
              </w:rPr>
            </w:pPr>
            <w:r>
              <w:rPr>
                <w:rFonts w:ascii="Arial" w:cs="Arial" w:eastAsia="Arial" w:hAnsi="Arial"/>
                <w:sz w:val="13"/>
                <w:szCs w:val="13"/>
                <w:color w:val="auto"/>
              </w:rPr>
              <w:t>First Amendment to Integra LifeSciences Holdings Corporation Management Incentive Compensation Plan (Incorporated by reference to Exhibit 10.5 to the Company’s</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Quarterly Report on Form 10-Q for the quarter ended March 31,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10.44(c)</w:t>
            </w:r>
          </w:p>
        </w:tc>
        <w:tc>
          <w:tcPr>
            <w:tcW w:w="10000" w:type="dxa"/>
            <w:vAlign w:val="bottom"/>
          </w:tcPr>
          <w:p>
            <w:pPr>
              <w:ind w:left="320"/>
              <w:spacing w:after="0"/>
              <w:rPr>
                <w:sz w:val="20"/>
                <w:szCs w:val="20"/>
                <w:color w:val="auto"/>
              </w:rPr>
            </w:pPr>
            <w:r>
              <w:rPr>
                <w:rFonts w:ascii="Arial" w:cs="Arial" w:eastAsia="Arial" w:hAnsi="Arial"/>
                <w:sz w:val="13"/>
                <w:szCs w:val="13"/>
                <w:color w:val="auto"/>
              </w:rPr>
              <w:t>Integra LifeSciences Holdings Corporation Management Incentive Compensation Plan, as amended and restated as of January 1, 2008 (Incorporated by reference to</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Exhibit 10.43(c) to the Company’s Annual Report on Form 10-K for the year ended December 31,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10.45</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Restricted Stock Agreement for Gerard S. Carlozzi and John B. Henneman, III (Incorporated by reference to Exhibit 10.1 to the Company’s Current Report on</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Form 8-K filed on February 27,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10.46</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2010 Convertible Bond Hedge Transaction Confirmation, dated June 6, 2007, between Integra LifeSciences Holdings Corporation and dealer (Incorporated by</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reference to Exhibit 10.1 to the Company’s Current Report on Form 8-K filed on June 12,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10.47</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2012 Convertible Bond Hedge Transaction Confirmation, dated June 6, 2007, between Integra LifeSciences Holdings Corporation and dealer (Incorporated by</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reference to Exhibit 10.2 to the Company’s Current Report on Form 8-K filed on June 12,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10.48</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2010 Amended and Restated Issuer Warrant Transaction Confirmation, dated June 6, 2007, between Integra LifeSciences Holdings Corporation and dealer</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(Incorporated by reference to Exhibit 10.3 to the Company’s Current Report on Form 8-K filed on June 12,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10.49</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2012 Amended and Restated Issuer Warrant Transaction Confirmation, dated June 6, 2007, between Integra LifeSciences Holdings Corporation and dealer</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(Incorporated by reference to Exhibit 10.4 to the Company’s Current Report on Form 8-K filed on June 12, 2007)</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10.50</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Option Agreement among Integra LifeSciences Holdings Corporation and John B. Henneman, III (Incorporated by reference to Exhibit 10.1 to the Company’s</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Current Report on Form 8-K filed on June 6, 2008)*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10.51</w:t>
            </w:r>
          </w:p>
        </w:tc>
        <w:tc>
          <w:tcPr>
            <w:tcW w:w="10000" w:type="dxa"/>
            <w:vAlign w:val="bottom"/>
          </w:tcPr>
          <w:p>
            <w:pPr>
              <w:ind w:left="320"/>
              <w:spacing w:after="0"/>
              <w:rPr>
                <w:sz w:val="20"/>
                <w:szCs w:val="20"/>
                <w:color w:val="auto"/>
              </w:rPr>
            </w:pPr>
            <w:r>
              <w:rPr>
                <w:rFonts w:ascii="Arial" w:cs="Arial" w:eastAsia="Arial" w:hAnsi="Arial"/>
                <w:sz w:val="13"/>
                <w:szCs w:val="13"/>
                <w:color w:val="auto"/>
              </w:rPr>
              <w:t>Unit Purchase Agreement, dated as of July 23, 2008, by and among Integra LifeSciences Holdings Corporation, Theken Spine LLC, Randall R. Theken and the other</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members of Theken Spine, LLC party thereto (Incorporated by reference to Exhibit 10.1 to the Company’s Current Report on Form 8-K filed on July 24, 2008)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10.52</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Indemnification Agreement for Non-Employee Directors and Officers (Incorporated by reference to Exhibit 10.1 to the Company’s Current Report on Form 8-K</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filed on December 24, 2008)*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10.53</w:t>
            </w:r>
          </w:p>
        </w:tc>
        <w:tc>
          <w:tcPr>
            <w:tcW w:w="10000" w:type="dxa"/>
            <w:vAlign w:val="bottom"/>
          </w:tcPr>
          <w:p>
            <w:pPr>
              <w:ind w:left="320"/>
              <w:spacing w:after="0"/>
              <w:rPr>
                <w:sz w:val="20"/>
                <w:szCs w:val="20"/>
                <w:color w:val="auto"/>
              </w:rPr>
            </w:pPr>
            <w:r>
              <w:rPr>
                <w:rFonts w:ascii="Arial" w:cs="Arial" w:eastAsia="Arial" w:hAnsi="Arial"/>
                <w:sz w:val="13"/>
                <w:szCs w:val="13"/>
                <w:color w:val="auto"/>
              </w:rPr>
              <w:t>Form of Contract Stock/Restricted Units Agreement for Mr. Carlozzi and Mr. Henneman (Incorporated by reference to Exhibit 10.4 to the Company’s Current Report on</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Form 8-K filed on December 24, 2008)*</w:t>
            </w:r>
          </w:p>
        </w:tc>
      </w:tr>
      <w:tr>
        <w:trPr>
          <w:trHeight w:val="157"/>
        </w:trPr>
        <w:tc>
          <w:tcPr>
            <w:tcW w:w="1460" w:type="dxa"/>
            <w:vAlign w:val="bottom"/>
            <w:gridSpan w:val="2"/>
          </w:tcPr>
          <w:p>
            <w:pPr>
              <w:ind w:left="680"/>
              <w:spacing w:after="0"/>
              <w:rPr>
                <w:sz w:val="20"/>
                <w:szCs w:val="20"/>
                <w:color w:val="auto"/>
              </w:rPr>
            </w:pPr>
            <w:r>
              <w:rPr>
                <w:rFonts w:ascii="Arial" w:cs="Arial" w:eastAsia="Arial" w:hAnsi="Arial"/>
                <w:sz w:val="13"/>
                <w:szCs w:val="13"/>
                <w:color w:val="auto"/>
              </w:rPr>
              <w:t>10.54</w:t>
            </w:r>
          </w:p>
        </w:tc>
        <w:tc>
          <w:tcPr>
            <w:tcW w:w="10000" w:type="dxa"/>
            <w:vAlign w:val="bottom"/>
          </w:tcPr>
          <w:p>
            <w:pPr>
              <w:ind w:left="320"/>
              <w:spacing w:after="0"/>
              <w:rPr>
                <w:sz w:val="20"/>
                <w:szCs w:val="20"/>
                <w:color w:val="auto"/>
              </w:rPr>
            </w:pPr>
            <w:r>
              <w:rPr>
                <w:rFonts w:ascii="Arial" w:cs="Arial" w:eastAsia="Arial" w:hAnsi="Arial"/>
                <w:sz w:val="13"/>
                <w:szCs w:val="13"/>
                <w:color w:val="auto"/>
              </w:rPr>
              <w:t>Piggyback Registration Rights Agreement dated December 22, 2008 between Integra LifeSciences Holdings Corporation and George Heenan, Thomas Gilliam and</w:t>
            </w:r>
          </w:p>
        </w:tc>
      </w:tr>
      <w:tr>
        <w:trPr>
          <w:trHeight w:val="157"/>
        </w:trPr>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Michael Evers, as trustees of The Bruce A. LeVahn 2008 Trust and Steven M. LeVahn (Incorporated by reference to Exhibit 10.1 to the Company’s Current Report on</w:t>
            </w:r>
          </w:p>
        </w:tc>
      </w:tr>
      <w:tr>
        <w:trPr>
          <w:trHeight w:val="165"/>
        </w:trPr>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0" w:type="dxa"/>
            <w:vAlign w:val="bottom"/>
          </w:tcPr>
          <w:p>
            <w:pPr>
              <w:ind w:left="320"/>
              <w:spacing w:after="0"/>
              <w:rPr>
                <w:sz w:val="20"/>
                <w:szCs w:val="20"/>
                <w:color w:val="auto"/>
              </w:rPr>
            </w:pPr>
            <w:r>
              <w:rPr>
                <w:rFonts w:ascii="Arial" w:cs="Arial" w:eastAsia="Arial" w:hAnsi="Arial"/>
                <w:sz w:val="13"/>
                <w:szCs w:val="13"/>
                <w:color w:val="auto"/>
              </w:rPr>
              <w:t>Form 8-K filed on December 29, 2008)</w:t>
            </w:r>
          </w:p>
        </w:tc>
      </w:tr>
      <w:tr>
        <w:trPr>
          <w:trHeight w:val="295"/>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0" w:type="dxa"/>
            <w:vAlign w:val="bottom"/>
          </w:tcPr>
          <w:p>
            <w:pPr>
              <w:ind w:left="4160"/>
              <w:spacing w:after="0"/>
              <w:rPr>
                <w:sz w:val="20"/>
                <w:szCs w:val="20"/>
                <w:color w:val="auto"/>
              </w:rPr>
            </w:pPr>
            <w:r>
              <w:rPr>
                <w:rFonts w:ascii="Arial" w:cs="Arial" w:eastAsia="Arial" w:hAnsi="Arial"/>
                <w:sz w:val="13"/>
                <w:szCs w:val="13"/>
                <w:color w:val="auto"/>
              </w:rPr>
              <w:t>55</w:t>
            </w:r>
          </w:p>
        </w:tc>
      </w:tr>
      <w:tr>
        <w:trPr>
          <w:trHeight w:val="163"/>
        </w:trPr>
        <w:tc>
          <w:tcPr>
            <w:tcW w:w="9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500" w:type="dxa"/>
            <w:vAlign w:val="bottom"/>
          </w:tcPr>
          <w:p>
            <w:pPr>
              <w:spacing w:after="0"/>
              <w:rPr>
                <w:sz w:val="13"/>
                <w:szCs w:val="13"/>
                <w:color w:val="auto"/>
              </w:rPr>
            </w:pPr>
          </w:p>
        </w:tc>
        <w:tc>
          <w:tcPr>
            <w:tcW w:w="8780" w:type="dxa"/>
            <w:vAlign w:val="bottom"/>
          </w:tcPr>
          <w:p>
            <w:pPr>
              <w:spacing w:after="0"/>
              <w:rPr>
                <w:sz w:val="13"/>
                <w:szCs w:val="13"/>
                <w:color w:val="auto"/>
              </w:rPr>
            </w:pPr>
          </w:p>
        </w:tc>
      </w:tr>
      <w:tr>
        <w:trPr>
          <w:trHeight w:val="384"/>
        </w:trPr>
        <w:tc>
          <w:tcPr>
            <w:tcW w:w="1480" w:type="dxa"/>
            <w:vAlign w:val="bottom"/>
            <w:gridSpan w:val="2"/>
          </w:tcPr>
          <w:p>
            <w:pPr>
              <w:ind w:left="680"/>
              <w:spacing w:after="0"/>
              <w:rPr>
                <w:sz w:val="20"/>
                <w:szCs w:val="20"/>
                <w:color w:val="auto"/>
              </w:rPr>
            </w:pPr>
            <w:r>
              <w:rPr>
                <w:rFonts w:ascii="Arial" w:cs="Arial" w:eastAsia="Arial" w:hAnsi="Arial"/>
                <w:sz w:val="13"/>
                <w:szCs w:val="13"/>
                <w:color w:val="auto"/>
              </w:rPr>
              <w:t>10.55(a)</w:t>
            </w:r>
          </w:p>
        </w:tc>
        <w:tc>
          <w:tcPr>
            <w:tcW w:w="8780" w:type="dxa"/>
            <w:vAlign w:val="bottom"/>
          </w:tcPr>
          <w:p>
            <w:pPr>
              <w:ind w:left="300"/>
              <w:spacing w:after="0"/>
              <w:rPr>
                <w:sz w:val="20"/>
                <w:szCs w:val="20"/>
                <w:color w:val="auto"/>
              </w:rPr>
            </w:pPr>
            <w:r>
              <w:rPr>
                <w:rFonts w:ascii="Arial" w:cs="Arial" w:eastAsia="Arial" w:hAnsi="Arial"/>
                <w:sz w:val="13"/>
                <w:szCs w:val="13"/>
                <w:color w:val="auto"/>
                <w:w w:val="92"/>
              </w:rPr>
              <w:t>Lease Agreement between 109 Morgan Lane, LLC and Integra LifeSciences Corporation, dated May 15, 2008 (Incorporated by reference to Exhibit 10.10 to the</w:t>
            </w:r>
          </w:p>
        </w:tc>
      </w:tr>
      <w:tr>
        <w:trPr>
          <w:trHeight w:val="157"/>
        </w:trPr>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780" w:type="dxa"/>
            <w:vAlign w:val="bottom"/>
          </w:tcPr>
          <w:p>
            <w:pPr>
              <w:ind w:left="300"/>
              <w:spacing w:after="0"/>
              <w:rPr>
                <w:sz w:val="20"/>
                <w:szCs w:val="20"/>
                <w:color w:val="auto"/>
              </w:rPr>
            </w:pPr>
            <w:r>
              <w:rPr>
                <w:rFonts w:ascii="Arial" w:cs="Arial" w:eastAsia="Arial" w:hAnsi="Arial"/>
                <w:sz w:val="13"/>
                <w:szCs w:val="13"/>
                <w:color w:val="auto"/>
              </w:rPr>
              <w:t>Company’s Quarterly Report on Form 10-Q for the quarter ended June 30, 2008)</w:t>
            </w:r>
          </w:p>
        </w:tc>
      </w:tr>
      <w:tr>
        <w:trPr>
          <w:trHeight w:val="157"/>
        </w:trPr>
        <w:tc>
          <w:tcPr>
            <w:tcW w:w="1480" w:type="dxa"/>
            <w:vAlign w:val="bottom"/>
            <w:gridSpan w:val="2"/>
          </w:tcPr>
          <w:p>
            <w:pPr>
              <w:ind w:left="680"/>
              <w:spacing w:after="0"/>
              <w:rPr>
                <w:sz w:val="20"/>
                <w:szCs w:val="20"/>
                <w:color w:val="auto"/>
              </w:rPr>
            </w:pPr>
            <w:r>
              <w:rPr>
                <w:rFonts w:ascii="Arial" w:cs="Arial" w:eastAsia="Arial" w:hAnsi="Arial"/>
                <w:sz w:val="13"/>
                <w:szCs w:val="13"/>
                <w:color w:val="auto"/>
              </w:rPr>
              <w:t>10.55(b)</w:t>
            </w:r>
          </w:p>
        </w:tc>
        <w:tc>
          <w:tcPr>
            <w:tcW w:w="8780" w:type="dxa"/>
            <w:vAlign w:val="bottom"/>
          </w:tcPr>
          <w:p>
            <w:pPr>
              <w:ind w:left="300"/>
              <w:spacing w:after="0"/>
              <w:rPr>
                <w:sz w:val="20"/>
                <w:szCs w:val="20"/>
                <w:color w:val="auto"/>
              </w:rPr>
            </w:pPr>
            <w:r>
              <w:rPr>
                <w:rFonts w:ascii="Arial" w:cs="Arial" w:eastAsia="Arial" w:hAnsi="Arial"/>
                <w:sz w:val="13"/>
                <w:szCs w:val="13"/>
                <w:color w:val="auto"/>
                <w:w w:val="91"/>
              </w:rPr>
              <w:t>First Amendment to Lease Agreement between 109 Morgan Lane, LLC and Integra LifeSciences Corporation, dated March 9, 2009 (Incorporated by reference to</w:t>
            </w:r>
          </w:p>
        </w:tc>
      </w:tr>
      <w:tr>
        <w:trPr>
          <w:trHeight w:val="157"/>
        </w:trPr>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780" w:type="dxa"/>
            <w:vAlign w:val="bottom"/>
          </w:tcPr>
          <w:p>
            <w:pPr>
              <w:ind w:left="300"/>
              <w:spacing w:after="0"/>
              <w:rPr>
                <w:sz w:val="20"/>
                <w:szCs w:val="20"/>
                <w:color w:val="auto"/>
              </w:rPr>
            </w:pPr>
            <w:r>
              <w:rPr>
                <w:rFonts w:ascii="Arial" w:cs="Arial" w:eastAsia="Arial" w:hAnsi="Arial"/>
                <w:sz w:val="13"/>
                <w:szCs w:val="13"/>
                <w:color w:val="auto"/>
              </w:rPr>
              <w:t>Exhibit 10.9 to the Company’s Quarterly Report on Form 10-Q for the quarter ended March 31, 2009)</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21</w:t>
            </w:r>
          </w:p>
        </w:tc>
        <w:tc>
          <w:tcPr>
            <w:tcW w:w="500" w:type="dxa"/>
            <w:vAlign w:val="bottom"/>
          </w:tcPr>
          <w:p>
            <w:pPr>
              <w:spacing w:after="0"/>
              <w:rPr>
                <w:sz w:val="13"/>
                <w:szCs w:val="13"/>
                <w:color w:val="auto"/>
              </w:rPr>
            </w:pPr>
          </w:p>
        </w:tc>
        <w:tc>
          <w:tcPr>
            <w:tcW w:w="8780" w:type="dxa"/>
            <w:vAlign w:val="bottom"/>
          </w:tcPr>
          <w:p>
            <w:pPr>
              <w:ind w:left="300"/>
              <w:spacing w:after="0"/>
              <w:rPr>
                <w:sz w:val="20"/>
                <w:szCs w:val="20"/>
                <w:color w:val="auto"/>
              </w:rPr>
            </w:pPr>
            <w:r>
              <w:rPr>
                <w:rFonts w:ascii="Arial" w:cs="Arial" w:eastAsia="Arial" w:hAnsi="Arial"/>
                <w:sz w:val="13"/>
                <w:szCs w:val="13"/>
                <w:color w:val="auto"/>
              </w:rPr>
              <w:t>Subsidiaries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23</w:t>
            </w:r>
          </w:p>
        </w:tc>
        <w:tc>
          <w:tcPr>
            <w:tcW w:w="500" w:type="dxa"/>
            <w:vAlign w:val="bottom"/>
          </w:tcPr>
          <w:p>
            <w:pPr>
              <w:spacing w:after="0"/>
              <w:rPr>
                <w:sz w:val="13"/>
                <w:szCs w:val="13"/>
                <w:color w:val="auto"/>
              </w:rPr>
            </w:pPr>
          </w:p>
        </w:tc>
        <w:tc>
          <w:tcPr>
            <w:tcW w:w="8780" w:type="dxa"/>
            <w:vAlign w:val="bottom"/>
          </w:tcPr>
          <w:p>
            <w:pPr>
              <w:ind w:left="300"/>
              <w:spacing w:after="0"/>
              <w:rPr>
                <w:sz w:val="20"/>
                <w:szCs w:val="20"/>
                <w:color w:val="auto"/>
              </w:rPr>
            </w:pPr>
            <w:r>
              <w:rPr>
                <w:rFonts w:ascii="Arial" w:cs="Arial" w:eastAsia="Arial" w:hAnsi="Arial"/>
                <w:sz w:val="13"/>
                <w:szCs w:val="13"/>
                <w:color w:val="auto"/>
              </w:rPr>
              <w:t>Consent of Pricewaterhouse Coopers LLP+</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31.1</w:t>
            </w:r>
          </w:p>
        </w:tc>
        <w:tc>
          <w:tcPr>
            <w:tcW w:w="500" w:type="dxa"/>
            <w:vAlign w:val="bottom"/>
          </w:tcPr>
          <w:p>
            <w:pPr>
              <w:spacing w:after="0"/>
              <w:rPr>
                <w:sz w:val="13"/>
                <w:szCs w:val="13"/>
                <w:color w:val="auto"/>
              </w:rPr>
            </w:pPr>
          </w:p>
        </w:tc>
        <w:tc>
          <w:tcPr>
            <w:tcW w:w="8780" w:type="dxa"/>
            <w:vAlign w:val="bottom"/>
          </w:tcPr>
          <w:p>
            <w:pPr>
              <w:ind w:left="300"/>
              <w:spacing w:after="0"/>
              <w:rPr>
                <w:sz w:val="20"/>
                <w:szCs w:val="20"/>
                <w:color w:val="auto"/>
              </w:rPr>
            </w:pPr>
            <w:r>
              <w:rPr>
                <w:rFonts w:ascii="Arial" w:cs="Arial" w:eastAsia="Arial" w:hAnsi="Arial"/>
                <w:sz w:val="13"/>
                <w:szCs w:val="13"/>
                <w:color w:val="auto"/>
              </w:rPr>
              <w:t>Certification of Principal Executive Officer Pursuant to Section 302 of the Sarbanes-Oxley Act of 2002+</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31.2</w:t>
            </w:r>
          </w:p>
        </w:tc>
        <w:tc>
          <w:tcPr>
            <w:tcW w:w="500" w:type="dxa"/>
            <w:vAlign w:val="bottom"/>
          </w:tcPr>
          <w:p>
            <w:pPr>
              <w:spacing w:after="0"/>
              <w:rPr>
                <w:sz w:val="13"/>
                <w:szCs w:val="13"/>
                <w:color w:val="auto"/>
              </w:rPr>
            </w:pPr>
          </w:p>
        </w:tc>
        <w:tc>
          <w:tcPr>
            <w:tcW w:w="8780" w:type="dxa"/>
            <w:vAlign w:val="bottom"/>
          </w:tcPr>
          <w:p>
            <w:pPr>
              <w:ind w:left="300"/>
              <w:spacing w:after="0"/>
              <w:rPr>
                <w:sz w:val="20"/>
                <w:szCs w:val="20"/>
                <w:color w:val="auto"/>
              </w:rPr>
            </w:pPr>
            <w:r>
              <w:rPr>
                <w:rFonts w:ascii="Arial" w:cs="Arial" w:eastAsia="Arial" w:hAnsi="Arial"/>
                <w:sz w:val="13"/>
                <w:szCs w:val="13"/>
                <w:color w:val="auto"/>
              </w:rPr>
              <w:t>Certification of Principal Financial Officer Pursuant to Section 302 of the Sarbanes-Oxley Act of 2002+</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32.1</w:t>
            </w:r>
          </w:p>
        </w:tc>
        <w:tc>
          <w:tcPr>
            <w:tcW w:w="500" w:type="dxa"/>
            <w:vAlign w:val="bottom"/>
          </w:tcPr>
          <w:p>
            <w:pPr>
              <w:spacing w:after="0"/>
              <w:rPr>
                <w:sz w:val="13"/>
                <w:szCs w:val="13"/>
                <w:color w:val="auto"/>
              </w:rPr>
            </w:pPr>
          </w:p>
        </w:tc>
        <w:tc>
          <w:tcPr>
            <w:tcW w:w="8780" w:type="dxa"/>
            <w:vAlign w:val="bottom"/>
          </w:tcPr>
          <w:p>
            <w:pPr>
              <w:ind w:left="300"/>
              <w:spacing w:after="0"/>
              <w:rPr>
                <w:sz w:val="20"/>
                <w:szCs w:val="20"/>
                <w:color w:val="auto"/>
              </w:rPr>
            </w:pPr>
            <w:r>
              <w:rPr>
                <w:rFonts w:ascii="Arial" w:cs="Arial" w:eastAsia="Arial" w:hAnsi="Arial"/>
                <w:sz w:val="13"/>
                <w:szCs w:val="13"/>
                <w:color w:val="auto"/>
              </w:rPr>
              <w:t>Certification of Principal Executive Officer Pursuant to Section 906 of the Sarbanes-Oxley Act of 2002+</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32.2</w:t>
            </w:r>
          </w:p>
        </w:tc>
        <w:tc>
          <w:tcPr>
            <w:tcW w:w="500" w:type="dxa"/>
            <w:vAlign w:val="bottom"/>
          </w:tcPr>
          <w:p>
            <w:pPr>
              <w:spacing w:after="0"/>
              <w:rPr>
                <w:sz w:val="13"/>
                <w:szCs w:val="13"/>
                <w:color w:val="auto"/>
              </w:rPr>
            </w:pPr>
          </w:p>
        </w:tc>
        <w:tc>
          <w:tcPr>
            <w:tcW w:w="8780" w:type="dxa"/>
            <w:vAlign w:val="bottom"/>
          </w:tcPr>
          <w:p>
            <w:pPr>
              <w:ind w:left="300"/>
              <w:spacing w:after="0"/>
              <w:rPr>
                <w:sz w:val="20"/>
                <w:szCs w:val="20"/>
                <w:color w:val="auto"/>
              </w:rPr>
            </w:pPr>
            <w:r>
              <w:rPr>
                <w:rFonts w:ascii="Arial" w:cs="Arial" w:eastAsia="Arial" w:hAnsi="Arial"/>
                <w:sz w:val="13"/>
                <w:szCs w:val="13"/>
                <w:color w:val="auto"/>
              </w:rPr>
              <w:t>Certification of Principal Financial Officer Pursuant to Section 906 of the Sarbanes-Oxley Act of 2002+</w:t>
            </w:r>
          </w:p>
        </w:tc>
      </w:tr>
      <w:tr>
        <w:trPr>
          <w:trHeight w:val="157"/>
        </w:trPr>
        <w:tc>
          <w:tcPr>
            <w:tcW w:w="1480" w:type="dxa"/>
            <w:vAlign w:val="bottom"/>
            <w:gridSpan w:val="2"/>
          </w:tcPr>
          <w:p>
            <w:pPr>
              <w:ind w:left="680"/>
              <w:spacing w:after="0"/>
              <w:rPr>
                <w:sz w:val="20"/>
                <w:szCs w:val="20"/>
                <w:color w:val="auto"/>
              </w:rPr>
            </w:pPr>
            <w:r>
              <w:rPr>
                <w:rFonts w:ascii="Arial" w:cs="Arial" w:eastAsia="Arial" w:hAnsi="Arial"/>
                <w:sz w:val="13"/>
                <w:szCs w:val="13"/>
                <w:color w:val="auto"/>
              </w:rPr>
              <w:t>101.INS</w:t>
            </w:r>
          </w:p>
        </w:tc>
        <w:tc>
          <w:tcPr>
            <w:tcW w:w="8780" w:type="dxa"/>
            <w:vAlign w:val="bottom"/>
          </w:tcPr>
          <w:p>
            <w:pPr>
              <w:ind w:left="300"/>
              <w:spacing w:after="0"/>
              <w:rPr>
                <w:sz w:val="20"/>
                <w:szCs w:val="20"/>
                <w:color w:val="auto"/>
              </w:rPr>
            </w:pPr>
            <w:r>
              <w:rPr>
                <w:rFonts w:ascii="Arial" w:cs="Arial" w:eastAsia="Arial" w:hAnsi="Arial"/>
                <w:sz w:val="13"/>
                <w:szCs w:val="13"/>
                <w:color w:val="auto"/>
              </w:rPr>
              <w:t>XBRL Instance Document+#</w:t>
            </w:r>
          </w:p>
        </w:tc>
      </w:tr>
      <w:tr>
        <w:trPr>
          <w:trHeight w:val="157"/>
        </w:trPr>
        <w:tc>
          <w:tcPr>
            <w:tcW w:w="1480" w:type="dxa"/>
            <w:vAlign w:val="bottom"/>
            <w:gridSpan w:val="2"/>
          </w:tcPr>
          <w:p>
            <w:pPr>
              <w:ind w:left="680"/>
              <w:spacing w:after="0"/>
              <w:rPr>
                <w:sz w:val="20"/>
                <w:szCs w:val="20"/>
                <w:color w:val="auto"/>
              </w:rPr>
            </w:pPr>
            <w:r>
              <w:rPr>
                <w:rFonts w:ascii="Arial" w:cs="Arial" w:eastAsia="Arial" w:hAnsi="Arial"/>
                <w:sz w:val="13"/>
                <w:szCs w:val="13"/>
                <w:color w:val="auto"/>
              </w:rPr>
              <w:t>101.SCH</w:t>
            </w:r>
          </w:p>
        </w:tc>
        <w:tc>
          <w:tcPr>
            <w:tcW w:w="8780" w:type="dxa"/>
            <w:vAlign w:val="bottom"/>
          </w:tcPr>
          <w:p>
            <w:pPr>
              <w:ind w:left="300"/>
              <w:spacing w:after="0"/>
              <w:rPr>
                <w:sz w:val="20"/>
                <w:szCs w:val="20"/>
                <w:color w:val="auto"/>
              </w:rPr>
            </w:pPr>
            <w:r>
              <w:rPr>
                <w:rFonts w:ascii="Arial" w:cs="Arial" w:eastAsia="Arial" w:hAnsi="Arial"/>
                <w:sz w:val="13"/>
                <w:szCs w:val="13"/>
                <w:color w:val="auto"/>
              </w:rPr>
              <w:t>XBRL Taxonomy Extension Schema Document+#</w:t>
            </w:r>
          </w:p>
        </w:tc>
      </w:tr>
      <w:tr>
        <w:trPr>
          <w:trHeight w:val="157"/>
        </w:trPr>
        <w:tc>
          <w:tcPr>
            <w:tcW w:w="1480" w:type="dxa"/>
            <w:vAlign w:val="bottom"/>
            <w:gridSpan w:val="2"/>
          </w:tcPr>
          <w:p>
            <w:pPr>
              <w:ind w:left="680"/>
              <w:spacing w:after="0"/>
              <w:rPr>
                <w:sz w:val="20"/>
                <w:szCs w:val="20"/>
                <w:color w:val="auto"/>
              </w:rPr>
            </w:pPr>
            <w:r>
              <w:rPr>
                <w:rFonts w:ascii="Arial" w:cs="Arial" w:eastAsia="Arial" w:hAnsi="Arial"/>
                <w:sz w:val="13"/>
                <w:szCs w:val="13"/>
                <w:color w:val="auto"/>
              </w:rPr>
              <w:t>101.CAL</w:t>
            </w:r>
          </w:p>
        </w:tc>
        <w:tc>
          <w:tcPr>
            <w:tcW w:w="8780" w:type="dxa"/>
            <w:vAlign w:val="bottom"/>
          </w:tcPr>
          <w:p>
            <w:pPr>
              <w:ind w:left="300"/>
              <w:spacing w:after="0"/>
              <w:rPr>
                <w:sz w:val="20"/>
                <w:szCs w:val="20"/>
                <w:color w:val="auto"/>
              </w:rPr>
            </w:pPr>
            <w:r>
              <w:rPr>
                <w:rFonts w:ascii="Arial" w:cs="Arial" w:eastAsia="Arial" w:hAnsi="Arial"/>
                <w:sz w:val="13"/>
                <w:szCs w:val="13"/>
                <w:color w:val="auto"/>
              </w:rPr>
              <w:t>XBRL Taxonomy Extension Calculation Linkbase Document+#</w:t>
            </w:r>
          </w:p>
        </w:tc>
      </w:tr>
      <w:tr>
        <w:trPr>
          <w:trHeight w:val="157"/>
        </w:trPr>
        <w:tc>
          <w:tcPr>
            <w:tcW w:w="1480" w:type="dxa"/>
            <w:vAlign w:val="bottom"/>
            <w:gridSpan w:val="2"/>
          </w:tcPr>
          <w:p>
            <w:pPr>
              <w:ind w:left="680"/>
              <w:spacing w:after="0"/>
              <w:rPr>
                <w:sz w:val="20"/>
                <w:szCs w:val="20"/>
                <w:color w:val="auto"/>
              </w:rPr>
            </w:pPr>
            <w:r>
              <w:rPr>
                <w:rFonts w:ascii="Arial" w:cs="Arial" w:eastAsia="Arial" w:hAnsi="Arial"/>
                <w:sz w:val="13"/>
                <w:szCs w:val="13"/>
                <w:color w:val="auto"/>
              </w:rPr>
              <w:t>101.LAB</w:t>
            </w:r>
          </w:p>
        </w:tc>
        <w:tc>
          <w:tcPr>
            <w:tcW w:w="8780" w:type="dxa"/>
            <w:vAlign w:val="bottom"/>
          </w:tcPr>
          <w:p>
            <w:pPr>
              <w:ind w:left="300"/>
              <w:spacing w:after="0"/>
              <w:rPr>
                <w:sz w:val="20"/>
                <w:szCs w:val="20"/>
                <w:color w:val="auto"/>
              </w:rPr>
            </w:pPr>
            <w:r>
              <w:rPr>
                <w:rFonts w:ascii="Arial" w:cs="Arial" w:eastAsia="Arial" w:hAnsi="Arial"/>
                <w:sz w:val="13"/>
                <w:szCs w:val="13"/>
                <w:color w:val="auto"/>
              </w:rPr>
              <w:t>XBRL Taxonomy Extension Labels Linkbase Document+#</w:t>
            </w:r>
          </w:p>
        </w:tc>
      </w:tr>
      <w:tr>
        <w:trPr>
          <w:trHeight w:val="165"/>
        </w:trPr>
        <w:tc>
          <w:tcPr>
            <w:tcW w:w="1480" w:type="dxa"/>
            <w:vAlign w:val="bottom"/>
            <w:gridSpan w:val="2"/>
          </w:tcPr>
          <w:p>
            <w:pPr>
              <w:ind w:left="680"/>
              <w:spacing w:after="0"/>
              <w:rPr>
                <w:sz w:val="20"/>
                <w:szCs w:val="20"/>
                <w:color w:val="auto"/>
              </w:rPr>
            </w:pPr>
            <w:r>
              <w:rPr>
                <w:rFonts w:ascii="Arial" w:cs="Arial" w:eastAsia="Arial" w:hAnsi="Arial"/>
                <w:sz w:val="13"/>
                <w:szCs w:val="13"/>
                <w:color w:val="auto"/>
              </w:rPr>
              <w:t>101.PRE</w:t>
            </w:r>
          </w:p>
        </w:tc>
        <w:tc>
          <w:tcPr>
            <w:tcW w:w="8780" w:type="dxa"/>
            <w:vAlign w:val="bottom"/>
          </w:tcPr>
          <w:p>
            <w:pPr>
              <w:ind w:left="300"/>
              <w:spacing w:after="0"/>
              <w:rPr>
                <w:sz w:val="20"/>
                <w:szCs w:val="20"/>
                <w:color w:val="auto"/>
              </w:rPr>
            </w:pPr>
            <w:r>
              <w:rPr>
                <w:rFonts w:ascii="Arial" w:cs="Arial" w:eastAsia="Arial" w:hAnsi="Arial"/>
                <w:sz w:val="13"/>
                <w:szCs w:val="13"/>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680" w:right="5920" w:firstLine="7"/>
        <w:spacing w:after="0" w:line="341" w:lineRule="auto"/>
        <w:tabs>
          <w:tab w:leader="none" w:pos="886"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Indicates a management contract or compensatory plan or arrangement. + Indicates this document is filed as an exhibit herewith.</w:t>
      </w:r>
    </w:p>
    <w:p>
      <w:pPr>
        <w:spacing w:after="0" w:line="1" w:lineRule="exact"/>
        <w:rPr>
          <w:sz w:val="20"/>
          <w:szCs w:val="20"/>
          <w:color w:val="auto"/>
        </w:rPr>
      </w:pPr>
    </w:p>
    <w:p>
      <w:pPr>
        <w:ind w:left="900" w:hanging="213"/>
        <w:spacing w:after="0" w:line="334" w:lineRule="auto"/>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financial information of Integra LifeSciences Holdings Corporation Annual Report on Form 10-K for the year ended December 31, 2010 filed on February 24, 2011 formatted in XBRL (Extensible Business Reporting Language): (i) the Consolidated Statements of Operations, (ii) the Consolidated Balance Sheets, (iii) the Consolidated Statements of Cash Flows, (iv) the Consolidated Statements of Changes in Stockholders’ Equity, and (v) Notes to Consolidated Financial Statements, is furnished electronically herewith as tagged blocks of text.</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Commission File Number for Reports on Form 10-K, Form 10-Q and Form 8-K is 0-26224.</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34" w:right="11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Section 13 of the Securities Exchange Act of 1934, the registrant has duly caused this report to be signed on its behalf by the undersigned, thereunto duly authorized.</w:t>
      </w:r>
    </w:p>
    <w:p>
      <w:pPr>
        <w:spacing w:after="0" w:line="134"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INTEGRA LIFESCIENCES HOLDINGS</w:t>
      </w:r>
    </w:p>
    <w:p>
      <w:pPr>
        <w:spacing w:after="0" w:line="19"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CORPORATION</w:t>
      </w:r>
    </w:p>
    <w:p>
      <w:pPr>
        <w:spacing w:after="0" w:line="325"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Stuart M. Essig</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23, 2011</w:t>
      </w:r>
    </w:p>
    <w:p>
      <w:pPr>
        <w:spacing w:after="0" w:line="96" w:lineRule="exact"/>
        <w:rPr>
          <w:sz w:val="20"/>
          <w:szCs w:val="20"/>
          <w:color w:val="auto"/>
        </w:rPr>
      </w:pPr>
    </w:p>
    <w:p>
      <w:pPr>
        <w:ind w:left="680" w:right="13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in the capacities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jc w:val="center"/>
              <w:ind w:right="1435"/>
              <w:spacing w:after="0"/>
              <w:rPr>
                <w:sz w:val="20"/>
                <w:szCs w:val="20"/>
                <w:color w:val="auto"/>
              </w:rPr>
            </w:pPr>
            <w:r>
              <w:rPr>
                <w:rFonts w:ascii="Arial" w:cs="Arial" w:eastAsia="Arial" w:hAnsi="Arial"/>
                <w:sz w:val="10"/>
                <w:szCs w:val="10"/>
                <w:b w:val="1"/>
                <w:bCs w:val="1"/>
                <w:color w:val="auto"/>
                <w:w w:val="95"/>
              </w:rPr>
              <w:t>Signature</w:t>
            </w:r>
          </w:p>
        </w:tc>
        <w:tc>
          <w:tcPr>
            <w:tcW w:w="300" w:type="dxa"/>
            <w:vAlign w:val="bottom"/>
          </w:tcPr>
          <w:p>
            <w:pPr>
              <w:spacing w:after="0"/>
              <w:rPr>
                <w:sz w:val="10"/>
                <w:szCs w:val="1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Title</w:t>
            </w:r>
          </w:p>
        </w:tc>
        <w:tc>
          <w:tcPr>
            <w:tcW w:w="300" w:type="dxa"/>
            <w:vAlign w:val="bottom"/>
          </w:tcPr>
          <w:p>
            <w:pPr>
              <w:spacing w:after="0"/>
              <w:rPr>
                <w:sz w:val="10"/>
                <w:szCs w:val="1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Date</w:t>
            </w:r>
          </w:p>
        </w:tc>
        <w:tc>
          <w:tcPr>
            <w:tcW w:w="800" w:type="dxa"/>
            <w:vAlign w:val="bottom"/>
          </w:tcPr>
          <w:p>
            <w:pPr>
              <w:spacing w:after="0"/>
              <w:rPr>
                <w:sz w:val="10"/>
                <w:szCs w:val="10"/>
                <w:color w:val="auto"/>
              </w:rPr>
            </w:pPr>
          </w:p>
        </w:tc>
      </w:tr>
      <w:tr>
        <w:trPr>
          <w:trHeight w:val="461"/>
        </w:trPr>
        <w:tc>
          <w:tcPr>
            <w:tcW w:w="6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1435"/>
              <w:spacing w:after="0"/>
              <w:rPr>
                <w:sz w:val="20"/>
                <w:szCs w:val="20"/>
                <w:color w:val="auto"/>
              </w:rPr>
            </w:pPr>
            <w:r>
              <w:rPr>
                <w:rFonts w:ascii="Arial" w:cs="Arial" w:eastAsia="Arial" w:hAnsi="Arial"/>
                <w:sz w:val="13"/>
                <w:szCs w:val="13"/>
                <w:color w:val="auto"/>
                <w:w w:val="94"/>
              </w:rPr>
              <w:t>/s/ Stuart M. Essig</w:t>
            </w:r>
          </w:p>
        </w:tc>
        <w:tc>
          <w:tcPr>
            <w:tcW w:w="3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4"/>
              </w:rPr>
              <w:t>Chief Executive Officer and Director (Principal Executive Officer)</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February 23,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0"/>
              </w:rPr>
              <w:t>Stuart M. Essig</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ind w:left="1360"/>
              <w:spacing w:after="0"/>
              <w:rPr>
                <w:sz w:val="20"/>
                <w:szCs w:val="20"/>
                <w:color w:val="auto"/>
              </w:rPr>
            </w:pPr>
            <w:r>
              <w:rPr>
                <w:rFonts w:ascii="Arial" w:cs="Arial" w:eastAsia="Arial" w:hAnsi="Arial"/>
                <w:sz w:val="13"/>
                <w:szCs w:val="13"/>
                <w:color w:val="auto"/>
                <w:w w:val="87"/>
              </w:rPr>
              <w:t>/s/</w:t>
            </w:r>
          </w:p>
        </w:tc>
        <w:tc>
          <w:tcPr>
            <w:tcW w:w="2620" w:type="dxa"/>
            <w:vAlign w:val="bottom"/>
            <w:tcBorders>
              <w:bottom w:val="single" w:sz="8" w:color="auto"/>
            </w:tcBorders>
          </w:tcPr>
          <w:p>
            <w:pPr>
              <w:jc w:val="center"/>
              <w:ind w:right="1235"/>
              <w:spacing w:after="0"/>
              <w:rPr>
                <w:sz w:val="20"/>
                <w:szCs w:val="20"/>
                <w:color w:val="auto"/>
              </w:rPr>
            </w:pPr>
            <w:r>
              <w:rPr>
                <w:rFonts w:ascii="Arial" w:cs="Arial" w:eastAsia="Arial" w:hAnsi="Arial"/>
                <w:sz w:val="13"/>
                <w:szCs w:val="13"/>
                <w:color w:val="auto"/>
                <w:w w:val="92"/>
              </w:rPr>
              <w:t>John B. Henneman, III</w:t>
            </w:r>
          </w:p>
        </w:tc>
        <w:tc>
          <w:tcPr>
            <w:tcW w:w="3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2"/>
              </w:rPr>
              <w:t>Executive Vice President, Finance and Administration, and Chief</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February 23, 2011</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2"/>
              </w:rPr>
              <w:t>John B. Henneman, III</w:t>
            </w:r>
          </w:p>
        </w:tc>
        <w:tc>
          <w:tcPr>
            <w:tcW w:w="300" w:type="dxa"/>
            <w:vAlign w:val="bottom"/>
          </w:tcPr>
          <w:p>
            <w:pPr>
              <w:spacing w:after="0"/>
              <w:rPr>
                <w:sz w:val="13"/>
                <w:szCs w:val="13"/>
                <w:color w:val="auto"/>
              </w:rPr>
            </w:pPr>
          </w:p>
        </w:tc>
        <w:tc>
          <w:tcPr>
            <w:tcW w:w="3680" w:type="dxa"/>
            <w:vAlign w:val="bottom"/>
          </w:tcPr>
          <w:p>
            <w:pPr>
              <w:jc w:val="center"/>
              <w:spacing w:after="0" w:line="145" w:lineRule="exact"/>
              <w:rPr>
                <w:sz w:val="20"/>
                <w:szCs w:val="20"/>
                <w:color w:val="auto"/>
              </w:rPr>
            </w:pPr>
            <w:r>
              <w:rPr>
                <w:rFonts w:ascii="Arial" w:cs="Arial" w:eastAsia="Arial" w:hAnsi="Arial"/>
                <w:sz w:val="13"/>
                <w:szCs w:val="13"/>
                <w:color w:val="auto"/>
                <w:w w:val="95"/>
              </w:rPr>
              <w:t>Financial Officer (Principal Financial Officer)</w:t>
            </w: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1435"/>
              <w:spacing w:after="0"/>
              <w:rPr>
                <w:sz w:val="20"/>
                <w:szCs w:val="20"/>
                <w:color w:val="auto"/>
              </w:rPr>
            </w:pPr>
            <w:r>
              <w:rPr>
                <w:rFonts w:ascii="Arial" w:cs="Arial" w:eastAsia="Arial" w:hAnsi="Arial"/>
                <w:sz w:val="13"/>
                <w:szCs w:val="13"/>
                <w:color w:val="auto"/>
                <w:w w:val="96"/>
              </w:rPr>
              <w:t>/s/ Jerry E. Corbin</w:t>
            </w:r>
          </w:p>
        </w:tc>
        <w:tc>
          <w:tcPr>
            <w:tcW w:w="3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2"/>
              </w:rPr>
              <w:t>Vice President and Corporate Controller (Principal Accounting</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February 23, 2011</w:t>
            </w:r>
          </w:p>
        </w:tc>
        <w:tc>
          <w:tcPr>
            <w:tcW w:w="800" w:type="dxa"/>
            <w:vAlign w:val="bottom"/>
          </w:tcPr>
          <w:p>
            <w:pPr>
              <w:spacing w:after="0"/>
              <w:rPr>
                <w:sz w:val="24"/>
                <w:szCs w:val="24"/>
                <w:color w:val="auto"/>
              </w:rPr>
            </w:pPr>
          </w:p>
        </w:tc>
      </w:tr>
      <w:tr>
        <w:trPr>
          <w:trHeight w:val="156"/>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2"/>
              </w:rPr>
              <w:t>Jerry E. Corbin</w:t>
            </w:r>
          </w:p>
        </w:tc>
        <w:tc>
          <w:tcPr>
            <w:tcW w:w="300" w:type="dxa"/>
            <w:vAlign w:val="bottom"/>
          </w:tcPr>
          <w:p>
            <w:pPr>
              <w:spacing w:after="0"/>
              <w:rPr>
                <w:sz w:val="13"/>
                <w:szCs w:val="13"/>
                <w:color w:val="auto"/>
              </w:rPr>
            </w:pPr>
          </w:p>
        </w:tc>
        <w:tc>
          <w:tcPr>
            <w:tcW w:w="368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3"/>
                <w:szCs w:val="13"/>
                <w:color w:val="auto"/>
              </w:rPr>
              <w:t>/s/</w:t>
            </w:r>
          </w:p>
        </w:tc>
        <w:tc>
          <w:tcPr>
            <w:tcW w:w="2620" w:type="dxa"/>
            <w:vAlign w:val="bottom"/>
            <w:tcBorders>
              <w:bottom w:val="single" w:sz="8" w:color="auto"/>
            </w:tcBorders>
          </w:tcPr>
          <w:p>
            <w:pPr>
              <w:jc w:val="center"/>
              <w:ind w:right="1235"/>
              <w:spacing w:after="0"/>
              <w:rPr>
                <w:sz w:val="20"/>
                <w:szCs w:val="20"/>
                <w:color w:val="auto"/>
              </w:rPr>
            </w:pPr>
            <w:r>
              <w:rPr>
                <w:rFonts w:ascii="Arial" w:cs="Arial" w:eastAsia="Arial" w:hAnsi="Arial"/>
                <w:sz w:val="13"/>
                <w:szCs w:val="13"/>
                <w:color w:val="auto"/>
                <w:w w:val="90"/>
              </w:rPr>
              <w:t>Richard E. Caruso, Ph.D.</w:t>
            </w:r>
          </w:p>
        </w:tc>
        <w:tc>
          <w:tcPr>
            <w:tcW w:w="3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1"/>
              </w:rPr>
              <w:t>Chairman of the Board</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February 23,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Richard E. Caruso, Ph.D.</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ind w:left="1320"/>
              <w:spacing w:after="0"/>
              <w:rPr>
                <w:sz w:val="20"/>
                <w:szCs w:val="20"/>
                <w:color w:val="auto"/>
              </w:rPr>
            </w:pPr>
            <w:r>
              <w:rPr>
                <w:rFonts w:ascii="Arial" w:cs="Arial" w:eastAsia="Arial" w:hAnsi="Arial"/>
                <w:sz w:val="13"/>
                <w:szCs w:val="13"/>
                <w:color w:val="auto"/>
              </w:rPr>
              <w:t>/s/</w:t>
            </w:r>
          </w:p>
        </w:tc>
        <w:tc>
          <w:tcPr>
            <w:tcW w:w="2620" w:type="dxa"/>
            <w:vAlign w:val="bottom"/>
            <w:tcBorders>
              <w:bottom w:val="single" w:sz="8" w:color="auto"/>
            </w:tcBorders>
          </w:tcPr>
          <w:p>
            <w:pPr>
              <w:jc w:val="center"/>
              <w:ind w:right="1235"/>
              <w:spacing w:after="0"/>
              <w:rPr>
                <w:sz w:val="20"/>
                <w:szCs w:val="20"/>
                <w:color w:val="auto"/>
              </w:rPr>
            </w:pPr>
            <w:r>
              <w:rPr>
                <w:rFonts w:ascii="Arial" w:cs="Arial" w:eastAsia="Arial" w:hAnsi="Arial"/>
                <w:sz w:val="13"/>
                <w:szCs w:val="13"/>
                <w:color w:val="auto"/>
                <w:w w:val="90"/>
              </w:rPr>
              <w:t>Thomas J. Baltimore, Jr.</w:t>
            </w:r>
          </w:p>
        </w:tc>
        <w:tc>
          <w:tcPr>
            <w:tcW w:w="3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February 23,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Thomas J. Baltimore, Jr.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5"/>
              </w:rPr>
              <w:t>/s/ Keith Bradley, Ph.D.</w:t>
            </w:r>
          </w:p>
        </w:tc>
        <w:tc>
          <w:tcPr>
            <w:tcW w:w="3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February 23,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2"/>
              </w:rPr>
              <w:t>Keith Bradley, Ph.D.</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1415"/>
              <w:spacing w:after="0"/>
              <w:rPr>
                <w:sz w:val="20"/>
                <w:szCs w:val="20"/>
                <w:color w:val="auto"/>
              </w:rPr>
            </w:pPr>
            <w:r>
              <w:rPr>
                <w:rFonts w:ascii="Arial" w:cs="Arial" w:eastAsia="Arial" w:hAnsi="Arial"/>
                <w:sz w:val="13"/>
                <w:szCs w:val="13"/>
                <w:color w:val="auto"/>
                <w:w w:val="96"/>
              </w:rPr>
              <w:t>/s/ Neal Moszkowski</w:t>
            </w:r>
          </w:p>
        </w:tc>
        <w:tc>
          <w:tcPr>
            <w:tcW w:w="3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February 23,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5"/>
              </w:rPr>
              <w:t>Neal Moszkowski</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/s/ Raymond G. Murphy</w:t>
            </w:r>
          </w:p>
        </w:tc>
        <w:tc>
          <w:tcPr>
            <w:tcW w:w="3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February 23,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3"/>
              </w:rPr>
              <w:t>Raymond G. Murphy</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1435"/>
              <w:spacing w:after="0"/>
              <w:rPr>
                <w:sz w:val="20"/>
                <w:szCs w:val="20"/>
                <w:color w:val="auto"/>
              </w:rPr>
            </w:pPr>
            <w:r>
              <w:rPr>
                <w:rFonts w:ascii="Arial" w:cs="Arial" w:eastAsia="Arial" w:hAnsi="Arial"/>
                <w:sz w:val="13"/>
                <w:szCs w:val="13"/>
                <w:color w:val="auto"/>
                <w:w w:val="92"/>
              </w:rPr>
              <w:t>/s/ Christian Schade</w:t>
            </w:r>
          </w:p>
        </w:tc>
        <w:tc>
          <w:tcPr>
            <w:tcW w:w="3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February 23,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88"/>
              </w:rPr>
              <w:t>Christian Schade</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4"/>
              </w:rPr>
              <w:t>/s/ James M. Sullivan</w:t>
            </w:r>
          </w:p>
        </w:tc>
        <w:tc>
          <w:tcPr>
            <w:tcW w:w="3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February 23,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35"/>
              <w:spacing w:after="0"/>
              <w:rPr>
                <w:sz w:val="20"/>
                <w:szCs w:val="20"/>
                <w:color w:val="auto"/>
              </w:rPr>
            </w:pPr>
            <w:r>
              <w:rPr>
                <w:rFonts w:ascii="Arial" w:cs="Arial" w:eastAsia="Arial" w:hAnsi="Arial"/>
                <w:sz w:val="13"/>
                <w:szCs w:val="13"/>
                <w:color w:val="auto"/>
                <w:w w:val="90"/>
              </w:rPr>
              <w:t>James M. Sullivan</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1435"/>
              <w:spacing w:after="0"/>
              <w:rPr>
                <w:sz w:val="20"/>
                <w:szCs w:val="20"/>
                <w:color w:val="auto"/>
              </w:rPr>
            </w:pPr>
            <w:r>
              <w:rPr>
                <w:rFonts w:ascii="Arial" w:cs="Arial" w:eastAsia="Arial" w:hAnsi="Arial"/>
                <w:sz w:val="13"/>
                <w:szCs w:val="13"/>
                <w:color w:val="auto"/>
                <w:w w:val="95"/>
              </w:rPr>
              <w:t>/s/ Anne M. VanLent</w:t>
            </w:r>
          </w:p>
        </w:tc>
        <w:tc>
          <w:tcPr>
            <w:tcW w:w="3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3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February 23, 2011</w:t>
            </w:r>
          </w:p>
        </w:tc>
        <w:tc>
          <w:tcPr>
            <w:tcW w:w="800" w:type="dxa"/>
            <w:vAlign w:val="bottom"/>
          </w:tcPr>
          <w:p>
            <w:pPr>
              <w:spacing w:after="0"/>
              <w:rPr>
                <w:sz w:val="24"/>
                <w:szCs w:val="24"/>
                <w:color w:val="auto"/>
              </w:rPr>
            </w:pPr>
          </w:p>
        </w:tc>
      </w:tr>
      <w:tr>
        <w:trPr>
          <w:trHeight w:val="155"/>
        </w:trPr>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20" w:type="dxa"/>
            <w:vAlign w:val="bottom"/>
          </w:tcPr>
          <w:p>
            <w:pPr>
              <w:jc w:val="center"/>
              <w:ind w:right="1415"/>
              <w:spacing w:after="0"/>
              <w:rPr>
                <w:sz w:val="20"/>
                <w:szCs w:val="20"/>
                <w:color w:val="auto"/>
              </w:rPr>
            </w:pPr>
            <w:r>
              <w:rPr>
                <w:rFonts w:ascii="Arial" w:cs="Arial" w:eastAsia="Arial" w:hAnsi="Arial"/>
                <w:sz w:val="13"/>
                <w:szCs w:val="13"/>
                <w:color w:val="auto"/>
                <w:w w:val="93"/>
              </w:rPr>
              <w:t>Anne M. VanLent</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980" w:type="dxa"/>
            <w:vAlign w:val="bottom"/>
            <w:gridSpan w:val="2"/>
          </w:tcPr>
          <w:p>
            <w:pPr>
              <w:jc w:val="right"/>
              <w:ind w:right="2975"/>
              <w:spacing w:after="0"/>
              <w:rPr>
                <w:sz w:val="20"/>
                <w:szCs w:val="20"/>
                <w:color w:val="auto"/>
              </w:rPr>
            </w:pPr>
            <w:r>
              <w:rPr>
                <w:rFonts w:ascii="Arial" w:cs="Arial" w:eastAsia="Arial" w:hAnsi="Arial"/>
                <w:sz w:val="13"/>
                <w:szCs w:val="13"/>
                <w:color w:val="auto"/>
              </w:rPr>
              <w:t>57</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2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Integra LifeSciences Holdings Corporation:</w:t>
      </w:r>
    </w:p>
    <w:p>
      <w:pPr>
        <w:spacing w:after="0" w:line="89"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color w:val="auto"/>
        </w:rPr>
        <w:t>In our opinion, the consolidated financial statements listed in the index appearing under Item 15(a)(1) present fairly, in all material respects, the financial position of Integra LifeSciences Holdings Corporation and its subsidiaries at December 31, 2010 and December 31, 2009, and the results of their operations and their cash flows for each of the three years in the period ended December 31, 2010 in conformity with accounting principles generally accepted in the United States of America. In addition, in our opinion, the financial statement schedule listed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2010,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PricewaterhouseCoopers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Florham Park, New Jersey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23, 2011</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3"/>
              </w:rPr>
              <w:t>Years Ended December 31,</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1"/>
              </w:rPr>
              <w:t>thousands,</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1"/>
                <w:szCs w:val="11"/>
                <w:color w:val="auto"/>
              </w:rPr>
            </w:pPr>
          </w:p>
        </w:tc>
        <w:tc>
          <w:tcPr>
            <w:tcW w:w="1280" w:type="dxa"/>
            <w:vAlign w:val="bottom"/>
            <w:gridSpan w:val="4"/>
          </w:tcPr>
          <w:p>
            <w:pPr>
              <w:jc w:val="right"/>
              <w:spacing w:after="0"/>
              <w:rPr>
                <w:sz w:val="20"/>
                <w:szCs w:val="20"/>
                <w:color w:val="auto"/>
              </w:rPr>
            </w:pPr>
            <w:r>
              <w:rPr>
                <w:rFonts w:ascii="Arial" w:cs="Arial" w:eastAsia="Arial" w:hAnsi="Arial"/>
                <w:sz w:val="10"/>
                <w:szCs w:val="10"/>
                <w:b w:val="1"/>
                <w:bCs w:val="1"/>
                <w:color w:val="auto"/>
                <w:w w:val="95"/>
              </w:rPr>
              <w:t>except per share amounts)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Total revenue, net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732,068</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682,487</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654,604</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Costs and Expenses: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268,188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244,918</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252,826</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60" w:type="dxa"/>
            <w:vAlign w:val="bottom"/>
          </w:tcPr>
          <w:p>
            <w:pPr>
              <w:spacing w:after="0"/>
              <w:rPr>
                <w:sz w:val="13"/>
                <w:szCs w:val="13"/>
                <w:color w:val="auto"/>
              </w:rPr>
            </w:pPr>
          </w:p>
        </w:tc>
        <w:tc>
          <w:tcPr>
            <w:tcW w:w="640" w:type="dxa"/>
            <w:vAlign w:val="bottom"/>
            <w:gridSpan w:val="2"/>
          </w:tcPr>
          <w:p>
            <w:pPr>
              <w:jc w:val="right"/>
              <w:ind w:right="28"/>
              <w:spacing w:after="0"/>
              <w:rPr>
                <w:sz w:val="20"/>
                <w:szCs w:val="20"/>
                <w:color w:val="auto"/>
              </w:rPr>
            </w:pPr>
            <w:r>
              <w:rPr>
                <w:rFonts w:ascii="Arial" w:cs="Arial" w:eastAsia="Arial" w:hAnsi="Arial"/>
                <w:sz w:val="13"/>
                <w:szCs w:val="13"/>
                <w:color w:val="auto"/>
              </w:rPr>
              <w:t>48,114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44,280</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60,495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305,055</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281,102</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280,997</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Intangible asset amortization</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12,017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14,363</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12,875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costs and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633,374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584,663</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607,193</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98,694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97,824</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47,411</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225</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631</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2,114</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(18,356)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(23,227)</w:t>
            </w:r>
          </w:p>
        </w:tc>
        <w:tc>
          <w:tcPr>
            <w:tcW w:w="2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(30,085)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(2,076)</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(905)</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82,114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73,152</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18,535</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22,197</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(9,192)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65,669</w:t>
            </w:r>
          </w:p>
        </w:tc>
        <w:tc>
          <w:tcPr>
            <w:tcW w:w="80" w:type="dxa"/>
            <w:vAlign w:val="bottom"/>
          </w:tcPr>
          <w:p>
            <w:pPr>
              <w:spacing w:after="0"/>
              <w:rPr>
                <w:sz w:val="13"/>
                <w:szCs w:val="13"/>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50,955</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27,727</w:t>
            </w:r>
          </w:p>
        </w:tc>
        <w:tc>
          <w:tcPr>
            <w:tcW w:w="0" w:type="dxa"/>
            <w:vAlign w:val="bottom"/>
          </w:tcPr>
          <w:p>
            <w:pPr>
              <w:spacing w:after="0"/>
              <w:rPr>
                <w:sz w:val="1"/>
                <w:szCs w:val="1"/>
                <w:color w:val="auto"/>
              </w:rPr>
            </w:pPr>
          </w:p>
        </w:tc>
      </w:tr>
      <w:tr>
        <w:trPr>
          <w:trHeight w:val="33"/>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net income per common share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0.98</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Diluted net income per common share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8"/>
              <w:spacing w:after="0"/>
              <w:rPr>
                <w:sz w:val="20"/>
                <w:szCs w:val="20"/>
                <w:color w:val="auto"/>
              </w:rPr>
            </w:pPr>
            <w:r>
              <w:rPr>
                <w:rFonts w:ascii="Arial" w:cs="Arial" w:eastAsia="Arial" w:hAnsi="Arial"/>
                <w:sz w:val="13"/>
                <w:szCs w:val="13"/>
                <w:color w:val="auto"/>
              </w:rPr>
              <w:t>2.17</w:t>
            </w:r>
          </w:p>
        </w:tc>
        <w:tc>
          <w:tcPr>
            <w:tcW w:w="46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1.74</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0.96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 (See Note 11):</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Basic</w:t>
            </w:r>
          </w:p>
        </w:tc>
        <w:tc>
          <w:tcPr>
            <w:tcW w:w="160" w:type="dxa"/>
            <w:vAlign w:val="bottom"/>
          </w:tcPr>
          <w:p>
            <w:pPr>
              <w:spacing w:after="0"/>
              <w:rPr>
                <w:sz w:val="13"/>
                <w:szCs w:val="13"/>
                <w:color w:val="auto"/>
              </w:rPr>
            </w:pPr>
          </w:p>
        </w:tc>
        <w:tc>
          <w:tcPr>
            <w:tcW w:w="640" w:type="dxa"/>
            <w:vAlign w:val="bottom"/>
            <w:gridSpan w:val="2"/>
          </w:tcPr>
          <w:p>
            <w:pPr>
              <w:jc w:val="right"/>
              <w:ind w:right="28"/>
              <w:spacing w:after="0"/>
              <w:rPr>
                <w:sz w:val="20"/>
                <w:szCs w:val="20"/>
                <w:color w:val="auto"/>
              </w:rPr>
            </w:pPr>
            <w:r>
              <w:rPr>
                <w:rFonts w:ascii="Arial" w:cs="Arial" w:eastAsia="Arial" w:hAnsi="Arial"/>
                <w:sz w:val="13"/>
                <w:szCs w:val="13"/>
                <w:color w:val="auto"/>
              </w:rPr>
              <w:t>29,548</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29,038</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27,781</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30,149</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29,292</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28,378</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b w:val="1"/>
                <w:bCs w:val="1"/>
                <w:color w:val="auto"/>
              </w:rPr>
              <w:t>December 31,</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128,763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71,891</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Trade accounts receivable, net of allowances of $7,322 and $11,216</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106,005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103,228</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 net</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146,928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140,240</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Deferred tax assets</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35,284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29,972</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27,869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20,032</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444,849</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365,363</w:t>
            </w: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plant, and equipment, net</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99,456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83,526</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194,904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211,117</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Goodwill</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261,928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261,941</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Deferred tax assets</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7,894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15,841</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8,277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2,314</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3"/>
                <w:szCs w:val="13"/>
                <w:color w:val="auto"/>
              </w:rPr>
              <w:t>Total assets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vMerge w:val="continue"/>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1,017,308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940,102</w:t>
            </w:r>
          </w:p>
        </w:tc>
        <w:tc>
          <w:tcPr>
            <w:tcW w:w="0" w:type="dxa"/>
            <w:vAlign w:val="bottom"/>
          </w:tcPr>
          <w:p>
            <w:pPr>
              <w:spacing w:after="0"/>
              <w:rPr>
                <w:sz w:val="1"/>
                <w:szCs w:val="1"/>
                <w:color w:val="auto"/>
              </w:rPr>
            </w:pPr>
          </w:p>
        </w:tc>
      </w:tr>
      <w:tr>
        <w:trPr>
          <w:trHeight w:val="128"/>
        </w:trPr>
        <w:tc>
          <w:tcPr>
            <w:tcW w:w="80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Borrowings under senior credit facility</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108,438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Convertible securities</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76,760</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trade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27,783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24,598</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4,444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4,077</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compensation</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27,562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23,227</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31,805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28,068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200,032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156,730</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Long-term borrowings under senior credit facility</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139,688</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160,000</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convertible securities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155,154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148,754</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Deferred tax liabilities</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10,645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9,319</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11,826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20,414</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3"/>
                <w:szCs w:val="13"/>
                <w:color w:val="auto"/>
              </w:rPr>
              <w:t>Total liabilities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517,345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495,217</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Stockholders’ Equity:</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 no par value; 15,000 authorized shares; none outstanding</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Common stock; $.01 par value; 60,000 authorized shares; 35,745 and 34,958 issued</w:t>
            </w: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359</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552,227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520,849</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Treasury stock, at cost; 7,212 and 6,354 shares</w:t>
            </w:r>
          </w:p>
        </w:tc>
        <w:tc>
          <w:tcPr>
            <w:tcW w:w="180" w:type="dxa"/>
            <w:vAlign w:val="bottom"/>
          </w:tcPr>
          <w:p>
            <w:pPr>
              <w:spacing w:after="0"/>
              <w:rPr>
                <w:sz w:val="13"/>
                <w:szCs w:val="13"/>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3"/>
                <w:szCs w:val="13"/>
                <w:color w:val="auto"/>
              </w:rPr>
              <w:t>(283,658)</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(252,380)</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280"/>
              <w:spacing w:after="0"/>
              <w:rPr>
                <w:sz w:val="20"/>
                <w:szCs w:val="20"/>
                <w:color w:val="auto"/>
              </w:rPr>
            </w:pPr>
            <w:r>
              <w:rPr>
                <w:rFonts w:ascii="Arial" w:cs="Arial" w:eastAsia="Arial" w:hAnsi="Arial"/>
                <w:sz w:val="13"/>
                <w:szCs w:val="13"/>
                <w:color w:val="auto"/>
              </w:rPr>
              <w:t>Foreign currency translation adjustment</w:t>
            </w:r>
          </w:p>
        </w:tc>
        <w:tc>
          <w:tcPr>
            <w:tcW w:w="180" w:type="dxa"/>
            <w:vAlign w:val="bottom"/>
          </w:tcPr>
          <w:p>
            <w:pPr>
              <w:spacing w:after="0"/>
              <w:rPr>
                <w:sz w:val="13"/>
                <w:szCs w:val="13"/>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3"/>
                <w:szCs w:val="13"/>
                <w:color w:val="auto"/>
              </w:rPr>
              <w:t>(870)</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9,746</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Pension liability adjustment, net of tax</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(771)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(860)</w:t>
            </w:r>
          </w:p>
        </w:tc>
        <w:tc>
          <w:tcPr>
            <w:tcW w:w="0" w:type="dxa"/>
            <w:vAlign w:val="bottom"/>
          </w:tcPr>
          <w:p>
            <w:pPr>
              <w:spacing w:after="0"/>
              <w:rPr>
                <w:sz w:val="1"/>
                <w:szCs w:val="1"/>
                <w:color w:val="auto"/>
              </w:rPr>
            </w:pPr>
          </w:p>
        </w:tc>
      </w:tr>
      <w:tr>
        <w:trPr>
          <w:trHeight w:val="157"/>
        </w:trPr>
        <w:tc>
          <w:tcPr>
            <w:tcW w:w="8000" w:type="dxa"/>
            <w:vAlign w:val="bottom"/>
          </w:tcPr>
          <w:p>
            <w:pPr>
              <w:ind w:left="280"/>
              <w:spacing w:after="0"/>
              <w:rPr>
                <w:sz w:val="20"/>
                <w:szCs w:val="20"/>
                <w:color w:val="auto"/>
              </w:rPr>
            </w:pPr>
            <w:r>
              <w:rPr>
                <w:rFonts w:ascii="Arial" w:cs="Arial" w:eastAsia="Arial" w:hAnsi="Arial"/>
                <w:sz w:val="13"/>
                <w:szCs w:val="13"/>
                <w:color w:val="auto"/>
              </w:rPr>
              <w:t>Unrealized (loss) gain on derivatives, net of tax</w:t>
            </w:r>
          </w:p>
        </w:tc>
        <w:tc>
          <w:tcPr>
            <w:tcW w:w="180" w:type="dxa"/>
            <w:vAlign w:val="bottom"/>
          </w:tcPr>
          <w:p>
            <w:pPr>
              <w:spacing w:after="0"/>
              <w:rPr>
                <w:sz w:val="13"/>
                <w:szCs w:val="13"/>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3"/>
                <w:szCs w:val="13"/>
                <w:color w:val="auto"/>
              </w:rPr>
              <w:t>(154)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232,830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167,161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Total stockholders’ equity</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499,963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444,885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1,017,308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940,102</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1"/>
              <w:spacing w:after="0" w:line="98" w:lineRule="exact"/>
              <w:rPr>
                <w:sz w:val="20"/>
                <w:szCs w:val="20"/>
                <w:color w:val="auto"/>
              </w:rPr>
            </w:pPr>
            <w:r>
              <w:rPr>
                <w:rFonts w:ascii="Arial" w:cs="Arial" w:eastAsia="Arial" w:hAnsi="Arial"/>
                <w:sz w:val="10"/>
                <w:szCs w:val="10"/>
                <w:b w:val="1"/>
                <w:bCs w:val="1"/>
                <w:color w:val="auto"/>
              </w:rPr>
              <w:t>2010</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21"/>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1"/>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OPERATING ACTIVITIES: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65,669</w:t>
            </w: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50,955</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27,727</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39,172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39,688</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30,717</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In-process research and development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277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25,240</w:t>
            </w:r>
          </w:p>
        </w:tc>
        <w:tc>
          <w:tcPr>
            <w:tcW w:w="0" w:type="dxa"/>
            <w:vAlign w:val="bottom"/>
          </w:tcPr>
          <w:p>
            <w:pPr>
              <w:spacing w:after="0"/>
              <w:rPr>
                <w:sz w:val="1"/>
                <w:szCs w:val="1"/>
                <w:color w:val="auto"/>
              </w:rPr>
            </w:pP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Deferred income tax provision (benefit)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4,128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548</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(33,542)</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17,209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15,580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32,635</w:t>
            </w:r>
          </w:p>
        </w:tc>
        <w:tc>
          <w:tcPr>
            <w:tcW w:w="0" w:type="dxa"/>
            <w:vAlign w:val="bottom"/>
          </w:tcPr>
          <w:p>
            <w:pPr>
              <w:spacing w:after="0"/>
              <w:rPr>
                <w:sz w:val="1"/>
                <w:szCs w:val="1"/>
                <w:color w:val="auto"/>
              </w:rPr>
            </w:pP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Amortization of debt issuance costs</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1,490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2,400</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2,431</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Non-cash interest expense</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7,125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9,899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12,471</w:t>
            </w:r>
          </w:p>
        </w:tc>
        <w:tc>
          <w:tcPr>
            <w:tcW w:w="0" w:type="dxa"/>
            <w:vAlign w:val="bottom"/>
          </w:tcPr>
          <w:p>
            <w:pPr>
              <w:spacing w:after="0"/>
              <w:rPr>
                <w:sz w:val="1"/>
                <w:szCs w:val="1"/>
                <w:color w:val="auto"/>
              </w:rPr>
            </w:pP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Payment of accreted interest</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(6,599)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(5,391)</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Gain on convertible note repurchases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(480)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Excess tax benefits from stock-based compensation arrangements</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(3,580)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(1,590)</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net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Changes in assets and liabilities, net of business acquisitions: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receivable</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(3,783)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9,808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(4,710)</w:t>
            </w:r>
          </w:p>
        </w:tc>
        <w:tc>
          <w:tcPr>
            <w:tcW w:w="0" w:type="dxa"/>
            <w:vAlign w:val="bottom"/>
          </w:tcPr>
          <w:p>
            <w:pPr>
              <w:spacing w:after="0"/>
              <w:rPr>
                <w:sz w:val="1"/>
                <w:szCs w:val="1"/>
                <w:color w:val="auto"/>
              </w:rPr>
            </w:pPr>
          </w:p>
        </w:tc>
      </w:tr>
      <w:tr>
        <w:trPr>
          <w:trHeight w:val="147"/>
        </w:trPr>
        <w:tc>
          <w:tcPr>
            <w:tcW w:w="7000" w:type="dxa"/>
            <w:vAlign w:val="bottom"/>
          </w:tcPr>
          <w:p>
            <w:pPr>
              <w:ind w:left="360"/>
              <w:spacing w:after="0"/>
              <w:rPr>
                <w:sz w:val="20"/>
                <w:szCs w:val="20"/>
                <w:color w:val="auto"/>
              </w:rPr>
            </w:pPr>
            <w:r>
              <w:rPr>
                <w:rFonts w:ascii="Arial" w:cs="Arial" w:eastAsia="Arial" w:hAnsi="Arial"/>
                <w:sz w:val="12"/>
                <w:szCs w:val="12"/>
                <w:color w:val="auto"/>
              </w:rPr>
              <w:t>Inventories</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(7,374)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9,405</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10,823</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Prepaid expenses and other current assets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(6,452)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(4,314)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3,974</w:t>
            </w:r>
          </w:p>
        </w:tc>
        <w:tc>
          <w:tcPr>
            <w:tcW w:w="0" w:type="dxa"/>
            <w:vAlign w:val="bottom"/>
          </w:tcPr>
          <w:p>
            <w:pPr>
              <w:spacing w:after="0"/>
              <w:rPr>
                <w:sz w:val="1"/>
                <w:szCs w:val="1"/>
                <w:color w:val="auto"/>
              </w:rPr>
            </w:pPr>
          </w:p>
        </w:tc>
      </w:tr>
      <w:tr>
        <w:trPr>
          <w:trHeight w:val="147"/>
        </w:trPr>
        <w:tc>
          <w:tcPr>
            <w:tcW w:w="7000" w:type="dxa"/>
            <w:vAlign w:val="bottom"/>
          </w:tcPr>
          <w:p>
            <w:pPr>
              <w:ind w:left="360"/>
              <w:spacing w:after="0"/>
              <w:rPr>
                <w:sz w:val="20"/>
                <w:szCs w:val="20"/>
                <w:color w:val="auto"/>
              </w:rPr>
            </w:pPr>
            <w:r>
              <w:rPr>
                <w:rFonts w:ascii="Arial" w:cs="Arial" w:eastAsia="Arial" w:hAnsi="Arial"/>
                <w:sz w:val="12"/>
                <w:szCs w:val="12"/>
                <w:color w:val="auto"/>
              </w:rPr>
              <w:t>Refundable income taxes</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11,343</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(18,821)</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non-current assets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411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47"/>
        </w:trPr>
        <w:tc>
          <w:tcPr>
            <w:tcW w:w="7000" w:type="dxa"/>
            <w:vAlign w:val="bottom"/>
          </w:tcPr>
          <w:p>
            <w:pPr>
              <w:ind w:left="360"/>
              <w:spacing w:after="0"/>
              <w:rPr>
                <w:sz w:val="20"/>
                <w:szCs w:val="20"/>
                <w:color w:val="auto"/>
              </w:rPr>
            </w:pPr>
            <w:r>
              <w:rPr>
                <w:rFonts w:ascii="Arial" w:cs="Arial" w:eastAsia="Arial" w:hAnsi="Arial"/>
                <w:sz w:val="12"/>
                <w:szCs w:val="12"/>
                <w:color w:val="auto"/>
              </w:rPr>
              <w:t>Accounts payable, accrued expenses and other current liabilities</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6,736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4,550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(17,258)</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Deferred revenue</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(289)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(372)</w:t>
            </w:r>
          </w:p>
        </w:tc>
        <w:tc>
          <w:tcPr>
            <w:tcW w:w="0" w:type="dxa"/>
            <w:vAlign w:val="bottom"/>
          </w:tcPr>
          <w:p>
            <w:pPr>
              <w:spacing w:after="0"/>
              <w:rPr>
                <w:sz w:val="1"/>
                <w:szCs w:val="1"/>
                <w:color w:val="auto"/>
              </w:rPr>
            </w:pPr>
          </w:p>
        </w:tc>
      </w:tr>
      <w:tr>
        <w:trPr>
          <w:trHeight w:val="147"/>
        </w:trPr>
        <w:tc>
          <w:tcPr>
            <w:tcW w:w="7000" w:type="dxa"/>
            <w:vAlign w:val="bottom"/>
          </w:tcPr>
          <w:p>
            <w:pPr>
              <w:ind w:left="360"/>
              <w:spacing w:after="0"/>
              <w:rPr>
                <w:sz w:val="20"/>
                <w:szCs w:val="20"/>
                <w:color w:val="auto"/>
              </w:rPr>
            </w:pPr>
            <w:r>
              <w:rPr>
                <w:rFonts w:ascii="Arial" w:cs="Arial" w:eastAsia="Arial" w:hAnsi="Arial"/>
                <w:sz w:val="12"/>
                <w:szCs w:val="12"/>
                <w:color w:val="auto"/>
              </w:rPr>
              <w:t>Other liabilities</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(7,531)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(1,135)</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2,949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cash provided by operating activities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105,571</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143,235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72,590</w:t>
            </w:r>
          </w:p>
        </w:tc>
        <w:tc>
          <w:tcPr>
            <w:tcW w:w="0" w:type="dxa"/>
            <w:vAlign w:val="bottom"/>
          </w:tcPr>
          <w:p>
            <w:pPr>
              <w:spacing w:after="0"/>
              <w:rPr>
                <w:sz w:val="1"/>
                <w:szCs w:val="1"/>
                <w:color w:val="auto"/>
              </w:rPr>
            </w:pPr>
          </w:p>
        </w:tc>
      </w:tr>
      <w:tr>
        <w:trPr>
          <w:trHeight w:val="144"/>
        </w:trPr>
        <w:tc>
          <w:tcPr>
            <w:tcW w:w="7000" w:type="dxa"/>
            <w:vAlign w:val="bottom"/>
          </w:tcPr>
          <w:p>
            <w:pPr>
              <w:spacing w:after="0"/>
              <w:rPr>
                <w:sz w:val="20"/>
                <w:szCs w:val="20"/>
                <w:color w:val="auto"/>
              </w:rPr>
            </w:pPr>
            <w:r>
              <w:rPr>
                <w:rFonts w:ascii="Arial" w:cs="Arial" w:eastAsia="Arial" w:hAnsi="Arial"/>
                <w:sz w:val="12"/>
                <w:szCs w:val="12"/>
                <w:color w:val="auto"/>
              </w:rPr>
              <w:t>INVESTING ACTIVITIES:</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used in business acquisitions, net of cash acquired</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(5,178)</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(60,783)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(86,874)</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Purchases of property and equipment</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(37,138)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(25,238)</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(13,401)</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intangible assets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(2,331)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40"/>
              <w:spacing w:after="0"/>
              <w:rPr>
                <w:sz w:val="20"/>
                <w:szCs w:val="20"/>
                <w:color w:val="auto"/>
              </w:rPr>
            </w:pPr>
            <w:r>
              <w:rPr>
                <w:rFonts w:ascii="Arial" w:cs="Arial" w:eastAsia="Arial" w:hAnsi="Arial"/>
                <w:sz w:val="12"/>
                <w:szCs w:val="12"/>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(42,316)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(88,352)</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(100,275)</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Borrowings under senior credit facility</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105,000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260,000</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Repayments under senior credit facility</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(16,875)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(100,000)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Repurchase of liability component of convertible notes</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(71,351)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(78,005)</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(119,558)</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issuance costs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(6,796)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Purchases of treasury stock</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(31,278)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exercised stock options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16,146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6,643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11,504</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Excess tax benefits from stock-based compensation arrangements</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3,580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1,590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cash (used in) provided by financing activities</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(1,574)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(171,342)</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153,536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(4,809)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4,804</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356</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56,872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(111,655)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126,207</w:t>
            </w:r>
          </w:p>
        </w:tc>
        <w:tc>
          <w:tcPr>
            <w:tcW w:w="0" w:type="dxa"/>
            <w:vAlign w:val="bottom"/>
          </w:tcPr>
          <w:p>
            <w:pPr>
              <w:spacing w:after="0"/>
              <w:rPr>
                <w:sz w:val="1"/>
                <w:szCs w:val="1"/>
                <w:color w:val="auto"/>
              </w:rPr>
            </w:pPr>
          </w:p>
        </w:tc>
      </w:tr>
      <w:tr>
        <w:trPr>
          <w:trHeight w:val="147"/>
        </w:trPr>
        <w:tc>
          <w:tcPr>
            <w:tcW w:w="70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71,891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183,546</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57,339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128,763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71,891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183,546</w:t>
            </w: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STOCKHOLDERS’ EQUITY</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4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7"/>
              </w:rPr>
              <w:t>Accumulated</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4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3"/>
              </w:rPr>
              <w:t>Other</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4860" w:type="dxa"/>
            <w:vAlign w:val="bottom"/>
          </w:tcPr>
          <w:p>
            <w:pPr>
              <w:spacing w:after="0"/>
              <w:rPr>
                <w:sz w:val="7"/>
                <w:szCs w:val="7"/>
                <w:color w:val="auto"/>
              </w:rPr>
            </w:pPr>
          </w:p>
        </w:tc>
        <w:tc>
          <w:tcPr>
            <w:tcW w:w="660" w:type="dxa"/>
            <w:vAlign w:val="bottom"/>
            <w:gridSpan w:val="3"/>
          </w:tcPr>
          <w:p>
            <w:pPr>
              <w:jc w:val="center"/>
              <w:ind w:left="155"/>
              <w:spacing w:after="0" w:line="89" w:lineRule="exact"/>
              <w:rPr>
                <w:sz w:val="20"/>
                <w:szCs w:val="20"/>
                <w:color w:val="auto"/>
              </w:rPr>
            </w:pPr>
            <w:r>
              <w:rPr>
                <w:rFonts w:ascii="Arial" w:cs="Arial" w:eastAsia="Arial" w:hAnsi="Arial"/>
                <w:sz w:val="8"/>
                <w:szCs w:val="8"/>
                <w:b w:val="1"/>
                <w:bCs w:val="1"/>
                <w:color w:val="auto"/>
                <w:w w:val="86"/>
              </w:rPr>
              <w:t>Common</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5"/>
          </w:tcPr>
          <w:p>
            <w:pPr>
              <w:jc w:val="right"/>
              <w:ind w:right="480"/>
              <w:spacing w:after="0" w:line="89" w:lineRule="exact"/>
              <w:rPr>
                <w:sz w:val="20"/>
                <w:szCs w:val="20"/>
                <w:color w:val="auto"/>
              </w:rPr>
            </w:pPr>
            <w:r>
              <w:rPr>
                <w:rFonts w:ascii="Arial" w:cs="Arial" w:eastAsia="Arial" w:hAnsi="Arial"/>
                <w:sz w:val="8"/>
                <w:szCs w:val="8"/>
                <w:b w:val="1"/>
                <w:bCs w:val="1"/>
                <w:color w:val="auto"/>
                <w:w w:val="94"/>
              </w:rPr>
              <w:t>Treasury</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1"/>
              </w:rPr>
              <w:t>Additional</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86"/>
              </w:rPr>
              <w:t>Comprehensive</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860" w:type="dxa"/>
            <w:vAlign w:val="bottom"/>
          </w:tcPr>
          <w:p>
            <w:pPr>
              <w:spacing w:after="0"/>
              <w:rPr>
                <w:sz w:val="8"/>
                <w:szCs w:val="8"/>
                <w:color w:val="auto"/>
              </w:rPr>
            </w:pPr>
          </w:p>
        </w:tc>
        <w:tc>
          <w:tcPr>
            <w:tcW w:w="560" w:type="dxa"/>
            <w:vAlign w:val="bottom"/>
            <w:tcBorders>
              <w:bottom w:val="single" w:sz="8" w:color="auto"/>
            </w:tcBorders>
            <w:gridSpan w:val="2"/>
          </w:tcPr>
          <w:p>
            <w:pPr>
              <w:jc w:val="center"/>
              <w:ind w:left="255"/>
              <w:spacing w:after="0"/>
              <w:rPr>
                <w:sz w:val="20"/>
                <w:szCs w:val="20"/>
                <w:color w:val="auto"/>
              </w:rPr>
            </w:pPr>
            <w:r>
              <w:rPr>
                <w:rFonts w:ascii="Arial" w:cs="Arial" w:eastAsia="Arial" w:hAnsi="Arial"/>
                <w:sz w:val="8"/>
                <w:szCs w:val="8"/>
                <w:b w:val="1"/>
                <w:bCs w:val="1"/>
                <w:color w:val="auto"/>
                <w:w w:val="82"/>
              </w:rPr>
              <w:t>Stock</w:t>
            </w: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w w:val="91"/>
              </w:rPr>
              <w:t>Stock</w:t>
            </w: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9"/>
              </w:rPr>
              <w:t>Paid-In</w:t>
            </w:r>
          </w:p>
        </w:tc>
        <w:tc>
          <w:tcPr>
            <w:tcW w:w="60" w:type="dxa"/>
            <w:vAlign w:val="bottom"/>
          </w:tcPr>
          <w:p>
            <w:pPr>
              <w:spacing w:after="0"/>
              <w:rPr>
                <w:sz w:val="8"/>
                <w:szCs w:val="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2"/>
              </w:rPr>
              <w:t>Income</w:t>
            </w:r>
          </w:p>
        </w:tc>
        <w:tc>
          <w:tcPr>
            <w:tcW w:w="80" w:type="dxa"/>
            <w:vAlign w:val="bottom"/>
          </w:tcPr>
          <w:p>
            <w:pPr>
              <w:spacing w:after="0"/>
              <w:rPr>
                <w:sz w:val="8"/>
                <w:szCs w:val="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8"/>
                <w:szCs w:val="8"/>
                <w:b w:val="1"/>
                <w:bCs w:val="1"/>
                <w:color w:val="auto"/>
                <w:w w:val="88"/>
              </w:rPr>
              <w:t>Retained</w:t>
            </w:r>
          </w:p>
        </w:tc>
        <w:tc>
          <w:tcPr>
            <w:tcW w:w="80" w:type="dxa"/>
            <w:vAlign w:val="bottom"/>
          </w:tcPr>
          <w:p>
            <w:pPr>
              <w:spacing w:after="0"/>
              <w:rPr>
                <w:sz w:val="8"/>
                <w:szCs w:val="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Total</w:t>
            </w:r>
          </w:p>
        </w:tc>
      </w:tr>
      <w:tr>
        <w:trPr>
          <w:trHeight w:val="78"/>
        </w:trPr>
        <w:tc>
          <w:tcPr>
            <w:tcW w:w="4860" w:type="dxa"/>
            <w:vAlign w:val="bottom"/>
          </w:tcPr>
          <w:p>
            <w:pPr>
              <w:spacing w:after="0"/>
              <w:rPr>
                <w:sz w:val="6"/>
                <w:szCs w:val="6"/>
                <w:color w:val="auto"/>
              </w:rPr>
            </w:pPr>
          </w:p>
        </w:tc>
        <w:tc>
          <w:tcPr>
            <w:tcW w:w="560" w:type="dxa"/>
            <w:vAlign w:val="bottom"/>
            <w:gridSpan w:val="2"/>
          </w:tcPr>
          <w:p>
            <w:pPr>
              <w:ind w:left="60"/>
              <w:spacing w:after="0" w:line="79" w:lineRule="exact"/>
              <w:rPr>
                <w:sz w:val="20"/>
                <w:szCs w:val="20"/>
                <w:color w:val="auto"/>
              </w:rPr>
            </w:pPr>
            <w:r>
              <w:rPr>
                <w:rFonts w:ascii="Arial" w:cs="Arial" w:eastAsia="Arial" w:hAnsi="Arial"/>
                <w:sz w:val="8"/>
                <w:szCs w:val="8"/>
                <w:b w:val="1"/>
                <w:bCs w:val="1"/>
                <w:color w:val="auto"/>
              </w:rPr>
              <w:t>Shares</w:t>
            </w:r>
          </w:p>
        </w:tc>
        <w:tc>
          <w:tcPr>
            <w:tcW w:w="280" w:type="dxa"/>
            <w:vAlign w:val="bottom"/>
            <w:gridSpan w:val="2"/>
          </w:tcPr>
          <w:p>
            <w:pPr>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400" w:type="dxa"/>
            <w:vAlign w:val="bottom"/>
            <w:gridSpan w:val="2"/>
          </w:tcPr>
          <w:p>
            <w:pPr>
              <w:jc w:val="right"/>
              <w:ind w:right="61"/>
              <w:spacing w:after="0" w:line="79" w:lineRule="exact"/>
              <w:rPr>
                <w:sz w:val="20"/>
                <w:szCs w:val="20"/>
                <w:color w:val="auto"/>
              </w:rPr>
            </w:pPr>
            <w:r>
              <w:rPr>
                <w:rFonts w:ascii="Arial" w:cs="Arial" w:eastAsia="Arial" w:hAnsi="Arial"/>
                <w:sz w:val="8"/>
                <w:szCs w:val="8"/>
                <w:b w:val="1"/>
                <w:bCs w:val="1"/>
                <w:color w:val="auto"/>
              </w:rPr>
              <w:t>Shares</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jc w:val="right"/>
              <w:ind w:right="74"/>
              <w:spacing w:after="0" w:line="79" w:lineRule="exact"/>
              <w:rPr>
                <w:sz w:val="20"/>
                <w:szCs w:val="20"/>
                <w:color w:val="auto"/>
              </w:rPr>
            </w:pPr>
            <w:r>
              <w:rPr>
                <w:rFonts w:ascii="Arial" w:cs="Arial" w:eastAsia="Arial" w:hAnsi="Arial"/>
                <w:sz w:val="8"/>
                <w:szCs w:val="8"/>
                <w:b w:val="1"/>
                <w:bCs w:val="1"/>
                <w:color w:val="auto"/>
                <w:w w:val="85"/>
              </w:rPr>
              <w:t>Amount</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9"/>
              </w:rPr>
              <w:t>Capital</w:t>
            </w:r>
          </w:p>
        </w:tc>
        <w:tc>
          <w:tcPr>
            <w:tcW w:w="60" w:type="dxa"/>
            <w:vAlign w:val="bottom"/>
          </w:tcPr>
          <w:p>
            <w:pPr>
              <w:spacing w:after="0"/>
              <w:rPr>
                <w:sz w:val="6"/>
                <w:szCs w:val="6"/>
                <w:color w:val="auto"/>
              </w:rPr>
            </w:pPr>
          </w:p>
        </w:tc>
        <w:tc>
          <w:tcPr>
            <w:tcW w:w="82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3"/>
              </w:rPr>
              <w:t>(Loss)</w:t>
            </w:r>
          </w:p>
        </w:tc>
        <w:tc>
          <w:tcPr>
            <w:tcW w:w="80" w:type="dxa"/>
            <w:vAlign w:val="bottom"/>
          </w:tcPr>
          <w:p>
            <w:pPr>
              <w:spacing w:after="0"/>
              <w:rPr>
                <w:sz w:val="6"/>
                <w:szCs w:val="6"/>
                <w:color w:val="auto"/>
              </w:rPr>
            </w:pPr>
          </w:p>
        </w:tc>
        <w:tc>
          <w:tcPr>
            <w:tcW w:w="62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w w:val="87"/>
              </w:rPr>
              <w:t>Earnings</w:t>
            </w:r>
          </w:p>
        </w:tc>
        <w:tc>
          <w:tcPr>
            <w:tcW w:w="80" w:type="dxa"/>
            <w:vAlign w:val="bottom"/>
          </w:tcPr>
          <w:p>
            <w:pPr>
              <w:spacing w:after="0"/>
              <w:rPr>
                <w:sz w:val="6"/>
                <w:szCs w:val="6"/>
                <w:color w:val="auto"/>
              </w:rPr>
            </w:pPr>
          </w:p>
        </w:tc>
        <w:tc>
          <w:tcPr>
            <w:tcW w:w="500" w:type="dxa"/>
            <w:vAlign w:val="bottom"/>
            <w:gridSpan w:val="2"/>
          </w:tcPr>
          <w:p>
            <w:pPr>
              <w:jc w:val="right"/>
              <w:ind w:right="220"/>
              <w:spacing w:after="0" w:line="79" w:lineRule="exact"/>
              <w:rPr>
                <w:sz w:val="20"/>
                <w:szCs w:val="20"/>
                <w:color w:val="auto"/>
              </w:rPr>
            </w:pPr>
            <w:r>
              <w:rPr>
                <w:rFonts w:ascii="Arial" w:cs="Arial" w:eastAsia="Arial" w:hAnsi="Arial"/>
                <w:sz w:val="8"/>
                <w:szCs w:val="8"/>
                <w:b w:val="1"/>
                <w:bCs w:val="1"/>
                <w:color w:val="auto"/>
              </w:rPr>
              <w:t>Equity</w:t>
            </w:r>
          </w:p>
        </w:tc>
      </w:tr>
      <w:tr>
        <w:trPr>
          <w:trHeight w:val="90"/>
        </w:trPr>
        <w:tc>
          <w:tcPr>
            <w:tcW w:w="48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gridSpan w:val="2"/>
          </w:tcPr>
          <w:p>
            <w:pPr>
              <w:jc w:val="center"/>
              <w:spacing w:after="0" w:line="90" w:lineRule="exact"/>
              <w:rPr>
                <w:sz w:val="20"/>
                <w:szCs w:val="20"/>
                <w:color w:val="auto"/>
              </w:rPr>
            </w:pPr>
            <w:r>
              <w:rPr>
                <w:rFonts w:ascii="Arial" w:cs="Arial" w:eastAsia="Arial" w:hAnsi="Arial"/>
                <w:sz w:val="8"/>
                <w:szCs w:val="8"/>
                <w:b w:val="1"/>
                <w:bCs w:val="1"/>
                <w:color w:val="auto"/>
                <w:w w:val="87"/>
              </w:rPr>
              <w:t>(In thousands)</w:t>
            </w: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8"/>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2007</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32,252</w:t>
            </w:r>
          </w:p>
        </w:tc>
        <w:tc>
          <w:tcPr>
            <w:tcW w:w="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323</w:t>
            </w:r>
          </w:p>
        </w:tc>
        <w:tc>
          <w:tcPr>
            <w:tcW w:w="4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(6,354)</w:t>
            </w:r>
          </w:p>
        </w:tc>
        <w:tc>
          <w:tcPr>
            <w:tcW w:w="2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(252,380)</w:t>
            </w:r>
          </w:p>
        </w:tc>
        <w:tc>
          <w:tcPr>
            <w:tcW w:w="1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431,238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19,045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89,368</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287,594</w:t>
            </w:r>
          </w:p>
        </w:tc>
      </w:tr>
      <w:tr>
        <w:trPr>
          <w:trHeight w:val="98"/>
        </w:trPr>
        <w:tc>
          <w:tcPr>
            <w:tcW w:w="4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Non-employee stock compensation expense</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1,095</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(889)</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206</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5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27,727</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27,727</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Foreign currency translation</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(13,454)</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(13,454)</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Minimum pension liability adjustment, net of tax</w:t>
            </w:r>
          </w:p>
        </w:tc>
        <w:tc>
          <w:tcPr>
            <w:tcW w:w="5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(236)</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(236)</w:t>
            </w:r>
          </w:p>
        </w:tc>
      </w:tr>
      <w:tr>
        <w:trPr>
          <w:trHeight w:val="20"/>
        </w:trPr>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4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comprehensive income</w:t>
            </w: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14,243</w:t>
            </w:r>
          </w:p>
        </w:tc>
      </w:tr>
      <w:tr>
        <w:trPr>
          <w:trHeight w:val="108"/>
        </w:trPr>
        <w:tc>
          <w:tcPr>
            <w:tcW w:w="4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Release of valuation allowance on deferred tax asset related to convertible notes</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2,144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2,144</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Issuance of common stock through employee benefit plans</w:t>
            </w:r>
          </w:p>
        </w:tc>
        <w:tc>
          <w:tcPr>
            <w:tcW w:w="5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1,022</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11,442</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11,453</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common stock for convertible note settlement</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768</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396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404</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Recapture of deferred tax for convertible debt</w:t>
            </w:r>
          </w:p>
        </w:tc>
        <w:tc>
          <w:tcPr>
            <w:tcW w:w="5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11,453</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11,453</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Tax benefit related to stock option exercises and issuance of restricted stock</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1,813</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1,813</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Share-based compensation</w:t>
            </w:r>
          </w:p>
        </w:tc>
        <w:tc>
          <w:tcPr>
            <w:tcW w:w="5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32,496</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32,496</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and commitment of common stock for acquisition</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310</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10,707</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10,709</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Balance, December 31, 2008</w:t>
            </w: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34,352</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344</w:t>
            </w:r>
          </w:p>
        </w:tc>
        <w:tc>
          <w:tcPr>
            <w:tcW w:w="20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(6,354)</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(252,380)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502,784</w:t>
            </w:r>
          </w:p>
        </w:tc>
        <w:tc>
          <w:tcPr>
            <w:tcW w:w="20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5,355</w:t>
            </w:r>
          </w:p>
        </w:tc>
        <w:tc>
          <w:tcPr>
            <w:tcW w:w="200" w:type="dxa"/>
            <w:vAlign w:val="bottom"/>
          </w:tcPr>
          <w:p>
            <w:pPr>
              <w:spacing w:after="0"/>
              <w:rPr>
                <w:sz w:val="8"/>
                <w:szCs w:val="8"/>
                <w:color w:val="auto"/>
              </w:rPr>
            </w:pPr>
          </w:p>
        </w:tc>
        <w:tc>
          <w:tcPr>
            <w:tcW w:w="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116,206</w:t>
            </w:r>
          </w:p>
        </w:tc>
        <w:tc>
          <w:tcPr>
            <w:tcW w:w="200" w:type="dxa"/>
            <w:vAlign w:val="bottom"/>
          </w:tcPr>
          <w:p>
            <w:pPr>
              <w:spacing w:after="0"/>
              <w:rPr>
                <w:sz w:val="8"/>
                <w:szCs w:val="8"/>
                <w:color w:val="auto"/>
              </w:rPr>
            </w:pPr>
          </w:p>
        </w:tc>
        <w:tc>
          <w:tcPr>
            <w:tcW w:w="80" w:type="dxa"/>
            <w:vAlign w:val="bottom"/>
            <w:tcBorders>
              <w:top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372,309</w:t>
            </w:r>
          </w:p>
        </w:tc>
        <w:tc>
          <w:tcPr>
            <w:tcW w:w="100" w:type="dxa"/>
            <w:vAlign w:val="bottom"/>
          </w:tcPr>
          <w:p>
            <w:pPr>
              <w:spacing w:after="0"/>
              <w:rPr>
                <w:sz w:val="8"/>
                <w:szCs w:val="8"/>
                <w:color w:val="auto"/>
              </w:rPr>
            </w:pPr>
          </w:p>
        </w:tc>
      </w:tr>
      <w:tr>
        <w:trPr>
          <w:trHeight w:val="98"/>
        </w:trPr>
        <w:tc>
          <w:tcPr>
            <w:tcW w:w="48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5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50,955</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50,955</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Foreign currency translation</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3,432</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3,432</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Minimum pension liability adjustment, net of tax</w:t>
            </w:r>
          </w:p>
        </w:tc>
        <w:tc>
          <w:tcPr>
            <w:tcW w:w="5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99</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99</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gain on derivatives, net of tax</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19</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19</w:t>
            </w:r>
          </w:p>
        </w:tc>
      </w:tr>
      <w:tr>
        <w:trPr>
          <w:trHeight w:val="112"/>
        </w:trPr>
        <w:tc>
          <w:tcPr>
            <w:tcW w:w="4860" w:type="dxa"/>
            <w:vAlign w:val="bottom"/>
          </w:tcPr>
          <w:p>
            <w:pPr>
              <w:ind w:left="100"/>
              <w:spacing w:after="0" w:line="98" w:lineRule="exact"/>
              <w:rPr>
                <w:sz w:val="20"/>
                <w:szCs w:val="20"/>
                <w:color w:val="auto"/>
              </w:rPr>
            </w:pPr>
            <w:r>
              <w:rPr>
                <w:rFonts w:ascii="Arial" w:cs="Arial" w:eastAsia="Arial" w:hAnsi="Arial"/>
                <w:sz w:val="9"/>
                <w:szCs w:val="9"/>
                <w:color w:val="auto"/>
              </w:rPr>
              <w:t>Total comprehensive income</w:t>
            </w: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54,505</w:t>
            </w:r>
          </w:p>
        </w:tc>
        <w:tc>
          <w:tcPr>
            <w:tcW w:w="100" w:type="dxa"/>
            <w:vAlign w:val="bottom"/>
          </w:tcPr>
          <w:p>
            <w:pPr>
              <w:spacing w:after="0"/>
              <w:rPr>
                <w:sz w:val="9"/>
                <w:szCs w:val="9"/>
                <w:color w:val="auto"/>
              </w:rPr>
            </w:pPr>
          </w:p>
        </w:tc>
      </w:tr>
      <w:tr>
        <w:trPr>
          <w:trHeight w:val="103"/>
        </w:trPr>
        <w:tc>
          <w:tcPr>
            <w:tcW w:w="4860" w:type="dxa"/>
            <w:vAlign w:val="bottom"/>
            <w:shd w:val="clear" w:color="auto" w:fill="CCEEFF"/>
          </w:tcPr>
          <w:p>
            <w:pPr>
              <w:spacing w:after="0"/>
              <w:rPr>
                <w:sz w:val="20"/>
                <w:szCs w:val="20"/>
                <w:color w:val="auto"/>
              </w:rPr>
            </w:pPr>
            <w:r>
              <w:rPr>
                <w:rFonts w:ascii="Arial" w:cs="Arial" w:eastAsia="Arial" w:hAnsi="Arial"/>
                <w:sz w:val="9"/>
                <w:szCs w:val="9"/>
                <w:color w:val="auto"/>
              </w:rPr>
              <w:t>Issuance of common stock through employee benefit plans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606</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6</w:t>
            </w:r>
          </w:p>
        </w:tc>
        <w:tc>
          <w:tcPr>
            <w:tcW w:w="400" w:type="dxa"/>
            <w:vAlign w:val="bottom"/>
            <w:gridSpan w:val="2"/>
            <w:shd w:val="clear" w:color="auto" w:fill="CCEEFF"/>
          </w:tcPr>
          <w:p>
            <w:pPr>
              <w:jc w:val="right"/>
              <w:ind w:right="21"/>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3,145</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3,151</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Share-based compensation</w:t>
            </w:r>
          </w:p>
        </w:tc>
        <w:tc>
          <w:tcPr>
            <w:tcW w:w="5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14,938</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14,938</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Repurchase of equity component of convertible debt</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Balance, December 31, 2009</w:t>
            </w: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34,958</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350</w:t>
            </w:r>
          </w:p>
        </w:tc>
        <w:tc>
          <w:tcPr>
            <w:tcW w:w="20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(6,354)</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(252,380)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520,849</w:t>
            </w:r>
          </w:p>
        </w:tc>
        <w:tc>
          <w:tcPr>
            <w:tcW w:w="20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8,905</w:t>
            </w:r>
          </w:p>
        </w:tc>
        <w:tc>
          <w:tcPr>
            <w:tcW w:w="200" w:type="dxa"/>
            <w:vAlign w:val="bottom"/>
          </w:tcPr>
          <w:p>
            <w:pPr>
              <w:spacing w:after="0"/>
              <w:rPr>
                <w:sz w:val="8"/>
                <w:szCs w:val="8"/>
                <w:color w:val="auto"/>
              </w:rPr>
            </w:pPr>
          </w:p>
        </w:tc>
        <w:tc>
          <w:tcPr>
            <w:tcW w:w="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167,161</w:t>
            </w:r>
          </w:p>
        </w:tc>
        <w:tc>
          <w:tcPr>
            <w:tcW w:w="200" w:type="dxa"/>
            <w:vAlign w:val="bottom"/>
          </w:tcPr>
          <w:p>
            <w:pPr>
              <w:spacing w:after="0"/>
              <w:rPr>
                <w:sz w:val="8"/>
                <w:szCs w:val="8"/>
                <w:color w:val="auto"/>
              </w:rPr>
            </w:pPr>
          </w:p>
        </w:tc>
        <w:tc>
          <w:tcPr>
            <w:tcW w:w="80" w:type="dxa"/>
            <w:vAlign w:val="bottom"/>
            <w:tcBorders>
              <w:top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444,885</w:t>
            </w:r>
          </w:p>
        </w:tc>
        <w:tc>
          <w:tcPr>
            <w:tcW w:w="100" w:type="dxa"/>
            <w:vAlign w:val="bottom"/>
          </w:tcPr>
          <w:p>
            <w:pPr>
              <w:spacing w:after="0"/>
              <w:rPr>
                <w:sz w:val="8"/>
                <w:szCs w:val="8"/>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65,669</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65,669</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Foreign currency translation</w:t>
            </w:r>
          </w:p>
        </w:tc>
        <w:tc>
          <w:tcPr>
            <w:tcW w:w="5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(10,616)</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(10,616)</w:t>
            </w: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Minimum pension liability adjustment, net of tax</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89</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89</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Unrealized gain on derivatives, net of tax</w:t>
            </w:r>
          </w:p>
        </w:tc>
        <w:tc>
          <w:tcPr>
            <w:tcW w:w="5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(173)</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(173)</w:t>
            </w:r>
          </w:p>
        </w:tc>
      </w:tr>
      <w:tr>
        <w:trPr>
          <w:trHeight w:val="20"/>
        </w:trPr>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4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comprehensive income</w:t>
            </w: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54,969</w:t>
            </w:r>
          </w:p>
        </w:tc>
      </w:tr>
      <w:tr>
        <w:trPr>
          <w:trHeight w:val="108"/>
        </w:trPr>
        <w:tc>
          <w:tcPr>
            <w:tcW w:w="4860" w:type="dxa"/>
            <w:vAlign w:val="bottom"/>
          </w:tcPr>
          <w:p>
            <w:pPr>
              <w:spacing w:after="0"/>
              <w:rPr>
                <w:sz w:val="20"/>
                <w:szCs w:val="20"/>
                <w:color w:val="auto"/>
              </w:rPr>
            </w:pPr>
            <w:r>
              <w:rPr>
                <w:rFonts w:ascii="Arial" w:cs="Arial" w:eastAsia="Arial" w:hAnsi="Arial"/>
                <w:sz w:val="9"/>
                <w:szCs w:val="9"/>
                <w:color w:val="auto"/>
              </w:rPr>
              <w:t>Issuance of common stock through employee benefit plans</w:t>
            </w:r>
          </w:p>
        </w:tc>
        <w:tc>
          <w:tcPr>
            <w:tcW w:w="560" w:type="dxa"/>
            <w:vAlign w:val="bottom"/>
            <w:gridSpan w:val="2"/>
          </w:tcPr>
          <w:p>
            <w:pPr>
              <w:jc w:val="right"/>
              <w:ind w:right="200"/>
              <w:spacing w:after="0"/>
              <w:rPr>
                <w:sz w:val="20"/>
                <w:szCs w:val="20"/>
                <w:color w:val="auto"/>
              </w:rPr>
            </w:pPr>
            <w:r>
              <w:rPr>
                <w:rFonts w:ascii="Arial" w:cs="Arial" w:eastAsia="Arial" w:hAnsi="Arial"/>
                <w:sz w:val="9"/>
                <w:szCs w:val="9"/>
                <w:color w:val="auto"/>
              </w:rPr>
              <w:t>787</w:t>
            </w:r>
          </w:p>
        </w:tc>
        <w:tc>
          <w:tcPr>
            <w:tcW w:w="100" w:type="dxa"/>
            <w:vAlign w:val="bottom"/>
          </w:tcPr>
          <w:p>
            <w:pPr>
              <w:spacing w:after="0"/>
              <w:rPr>
                <w:sz w:val="9"/>
                <w:szCs w:val="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9"/>
                <w:szCs w:val="9"/>
                <w:color w:val="auto"/>
              </w:rPr>
              <w:t>9</w:t>
            </w:r>
          </w:p>
        </w:tc>
        <w:tc>
          <w:tcPr>
            <w:tcW w:w="400" w:type="dxa"/>
            <w:vAlign w:val="bottom"/>
            <w:gridSpan w:val="2"/>
          </w:tcPr>
          <w:p>
            <w:pPr>
              <w:jc w:val="right"/>
              <w:ind w:right="21"/>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10,609</w:t>
            </w:r>
          </w:p>
        </w:tc>
        <w:tc>
          <w:tcPr>
            <w:tcW w:w="60" w:type="dxa"/>
            <w:vAlign w:val="bottom"/>
          </w:tcPr>
          <w:p>
            <w:pPr>
              <w:spacing w:after="0"/>
              <w:rPr>
                <w:sz w:val="9"/>
                <w:szCs w:val="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10,618</w:t>
            </w:r>
          </w:p>
        </w:tc>
        <w:tc>
          <w:tcPr>
            <w:tcW w:w="100" w:type="dxa"/>
            <w:vAlign w:val="bottom"/>
          </w:tcPr>
          <w:p>
            <w:pPr>
              <w:spacing w:after="0"/>
              <w:rPr>
                <w:sz w:val="9"/>
                <w:szCs w:val="9"/>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Share-based compensation</w:t>
            </w:r>
          </w:p>
        </w:tc>
        <w:tc>
          <w:tcPr>
            <w:tcW w:w="5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ind w:right="21"/>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20,769</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20,769</w:t>
            </w:r>
          </w:p>
        </w:tc>
      </w:tr>
      <w:tr>
        <w:trPr>
          <w:trHeight w:val="98"/>
        </w:trPr>
        <w:tc>
          <w:tcPr>
            <w:tcW w:w="4860" w:type="dxa"/>
            <w:vAlign w:val="bottom"/>
          </w:tcPr>
          <w:p>
            <w:pPr>
              <w:spacing w:after="0" w:line="98" w:lineRule="exact"/>
              <w:rPr>
                <w:sz w:val="20"/>
                <w:szCs w:val="20"/>
                <w:color w:val="auto"/>
              </w:rPr>
            </w:pPr>
            <w:r>
              <w:rPr>
                <w:rFonts w:ascii="Arial" w:cs="Arial" w:eastAsia="Arial" w:hAnsi="Arial"/>
                <w:sz w:val="9"/>
                <w:szCs w:val="9"/>
                <w:color w:val="auto"/>
              </w:rPr>
              <w:t>Repurchase of common stock</w:t>
            </w:r>
          </w:p>
        </w:tc>
        <w:tc>
          <w:tcPr>
            <w:tcW w:w="36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0" w:type="dxa"/>
            <w:vAlign w:val="bottom"/>
            <w:gridSpan w:val="2"/>
          </w:tcPr>
          <w:p>
            <w:pPr>
              <w:jc w:val="right"/>
              <w:spacing w:after="0" w:line="98" w:lineRule="exact"/>
              <w:rPr>
                <w:sz w:val="20"/>
                <w:szCs w:val="20"/>
                <w:color w:val="auto"/>
              </w:rPr>
            </w:pPr>
            <w:r>
              <w:rPr>
                <w:rFonts w:ascii="Arial" w:cs="Arial" w:eastAsia="Arial" w:hAnsi="Arial"/>
                <w:sz w:val="9"/>
                <w:szCs w:val="9"/>
                <w:color w:val="auto"/>
              </w:rPr>
              <w:t>(858)</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(31,278)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(31,278)</w:t>
            </w:r>
          </w:p>
        </w:tc>
      </w:tr>
      <w:tr>
        <w:trPr>
          <w:trHeight w:val="20"/>
        </w:trPr>
        <w:tc>
          <w:tcPr>
            <w:tcW w:w="4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4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2010</w:t>
            </w: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35,745</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359</w:t>
            </w:r>
          </w:p>
        </w:tc>
        <w:tc>
          <w:tcPr>
            <w:tcW w:w="4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(7,212)</w:t>
            </w:r>
          </w:p>
        </w:tc>
        <w:tc>
          <w:tcPr>
            <w:tcW w:w="2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(283,658)</w:t>
            </w:r>
          </w:p>
        </w:tc>
        <w:tc>
          <w:tcPr>
            <w:tcW w:w="14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552,227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(1,795)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232,830</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499,963</w:t>
            </w:r>
          </w:p>
        </w:tc>
      </w:tr>
      <w:tr>
        <w:trPr>
          <w:trHeight w:val="29"/>
        </w:trPr>
        <w:tc>
          <w:tcPr>
            <w:tcW w:w="48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BUSINESS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Integra LifeSciences Holdings Corporation (the “Company”) was incorporated in Delaware in 1989. The Company, a world leader in medical devices, is dedicated to limiting uncertainty for surgeons through the development, manufacturing, and marketing of cost-effective surgical implants and medical instruments. Its products are used primarily in neurosurgery, extremity reconstruction, orthopedics and general surgery.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sells its products directly through various sales forces and through a variety of other distribution channels.</w:t>
      </w:r>
    </w:p>
    <w:p>
      <w:pPr>
        <w:spacing w:after="0" w:line="171" w:lineRule="exact"/>
        <w:rPr>
          <w:sz w:val="20"/>
          <w:szCs w:val="20"/>
          <w:color w:val="auto"/>
        </w:rPr>
      </w:pPr>
    </w:p>
    <w:p>
      <w:pPr>
        <w:ind w:left="1000" w:hanging="313"/>
        <w:spacing w:after="0"/>
        <w:tabs>
          <w:tab w:leader="none" w:pos="100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The consolidated financial statements include the accounts of the Company and its subsidiaries, all of which are wholly owned. All significant intercompany accounts and transactions are eliminated in consolidation. See Note 3, “Acquisitions,” for details of new subsidiaries included in the consolidation.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and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and loss contingencies. These estimates are based on historical experience and on various other assumptions that are believed to be reasonable under the current circumstances. Actual results could differ from these estimates.</w:t>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amounts from the prior year’s financial statements have been reclassified in order to conform to the current year’s presentation.</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considers all short term, highly liquid investments purchased with original maturities of three months or less to be cash equivalents.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TRADE ACCOUNTS RECEIVABLE AND ALLOWANCES FOR DOUBTFUL ACCOUNTS RECEIVABLE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evaluates the collectibility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the Company feels it is probable that the receivable will not be recovered.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Inventories, consisting of purchased materials, direct labor and manufacturing overhead, are stated at the lower of cost, the value determined by the first-in, first-out method, or market. Inventories consisted of the following:</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0"/>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87,508</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86,080</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Work in process</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31,536</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26,852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27,884</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27,308</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Total inventories, net</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146,928</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140,240</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At each balance sheet date, the Company evaluates inventories for excess quantities, obsolescence or shelf-life expiration. This evaluation includes analyses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55"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2010 or 2009.</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Property, plant and equipment are stated at cost.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plant and equipment balances and corresponding lives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0"/>
                <w:szCs w:val="10"/>
                <w:b w:val="1"/>
                <w:bCs w:val="1"/>
                <w:color w:val="auto"/>
              </w:rPr>
              <w:t>December 31,</w:t>
            </w: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vMerge w:val="restart"/>
          </w:tcPr>
          <w:p>
            <w:pPr>
              <w:ind w:left="320"/>
              <w:spacing w:after="0"/>
              <w:rPr>
                <w:sz w:val="20"/>
                <w:szCs w:val="20"/>
                <w:color w:val="auto"/>
              </w:rPr>
            </w:pPr>
            <w:r>
              <w:rPr>
                <w:rFonts w:ascii="Arial" w:cs="Arial" w:eastAsia="Arial" w:hAnsi="Arial"/>
                <w:sz w:val="10"/>
                <w:szCs w:val="10"/>
                <w:b w:val="1"/>
                <w:bCs w:val="1"/>
                <w:color w:val="auto"/>
              </w:rPr>
              <w:t>Lives</w:t>
            </w: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ind w:right="238"/>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4"/>
              </w:rPr>
              <w:t>thousands)</w:t>
            </w:r>
          </w:p>
        </w:tc>
        <w:tc>
          <w:tcPr>
            <w:tcW w:w="160" w:type="dxa"/>
            <w:vAlign w:val="bottom"/>
          </w:tcPr>
          <w:p>
            <w:pPr>
              <w:spacing w:after="0"/>
              <w:rPr>
                <w:sz w:val="8"/>
                <w:szCs w:val="8"/>
                <w:color w:val="auto"/>
              </w:rPr>
            </w:pPr>
          </w:p>
        </w:tc>
        <w:tc>
          <w:tcPr>
            <w:tcW w:w="540" w:type="dxa"/>
            <w:vAlign w:val="bottom"/>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2,726</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2,803</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Buildings and building improvements</w:t>
            </w:r>
          </w:p>
        </w:tc>
        <w:tc>
          <w:tcPr>
            <w:tcW w:w="180" w:type="dxa"/>
            <w:vAlign w:val="bottom"/>
          </w:tcPr>
          <w:p>
            <w:pPr>
              <w:spacing w:after="0"/>
              <w:rPr>
                <w:sz w:val="13"/>
                <w:szCs w:val="13"/>
                <w:color w:val="auto"/>
              </w:rPr>
            </w:pPr>
          </w:p>
        </w:tc>
        <w:tc>
          <w:tcPr>
            <w:tcW w:w="1020" w:type="dxa"/>
            <w:vAlign w:val="bottom"/>
            <w:gridSpan w:val="2"/>
          </w:tcPr>
          <w:p>
            <w:pPr>
              <w:jc w:val="right"/>
              <w:ind w:right="333"/>
              <w:spacing w:after="0"/>
              <w:rPr>
                <w:sz w:val="20"/>
                <w:szCs w:val="20"/>
                <w:color w:val="auto"/>
              </w:rPr>
            </w:pPr>
            <w:r>
              <w:rPr>
                <w:rFonts w:ascii="Arial" w:cs="Arial" w:eastAsia="Arial" w:hAnsi="Arial"/>
                <w:sz w:val="13"/>
                <w:szCs w:val="13"/>
                <w:color w:val="auto"/>
              </w:rPr>
              <w:t>6,964</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6,709</w:t>
            </w:r>
          </w:p>
        </w:tc>
        <w:tc>
          <w:tcPr>
            <w:tcW w:w="980" w:type="dxa"/>
            <w:vAlign w:val="bottom"/>
            <w:gridSpan w:val="2"/>
          </w:tcPr>
          <w:p>
            <w:pPr>
              <w:ind w:left="340"/>
              <w:spacing w:after="0"/>
              <w:rPr>
                <w:sz w:val="20"/>
                <w:szCs w:val="20"/>
                <w:color w:val="auto"/>
              </w:rPr>
            </w:pPr>
            <w:r>
              <w:rPr>
                <w:rFonts w:ascii="Arial" w:cs="Arial" w:eastAsia="Arial" w:hAnsi="Arial"/>
                <w:sz w:val="13"/>
                <w:szCs w:val="13"/>
                <w:color w:val="auto"/>
              </w:rPr>
              <w:t>5-40 years</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38,102</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35,335</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1-20 years</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Machinery and equipment</w:t>
            </w:r>
          </w:p>
        </w:tc>
        <w:tc>
          <w:tcPr>
            <w:tcW w:w="180" w:type="dxa"/>
            <w:vAlign w:val="bottom"/>
          </w:tcPr>
          <w:p>
            <w:pPr>
              <w:spacing w:after="0"/>
              <w:rPr>
                <w:sz w:val="13"/>
                <w:szCs w:val="13"/>
                <w:color w:val="auto"/>
              </w:rPr>
            </w:pPr>
          </w:p>
        </w:tc>
        <w:tc>
          <w:tcPr>
            <w:tcW w:w="1020" w:type="dxa"/>
            <w:vAlign w:val="bottom"/>
            <w:gridSpan w:val="2"/>
          </w:tcPr>
          <w:p>
            <w:pPr>
              <w:jc w:val="right"/>
              <w:ind w:right="333"/>
              <w:spacing w:after="0"/>
              <w:rPr>
                <w:sz w:val="20"/>
                <w:szCs w:val="20"/>
                <w:color w:val="auto"/>
              </w:rPr>
            </w:pPr>
            <w:r>
              <w:rPr>
                <w:rFonts w:ascii="Arial" w:cs="Arial" w:eastAsia="Arial" w:hAnsi="Arial"/>
                <w:sz w:val="13"/>
                <w:szCs w:val="13"/>
                <w:color w:val="auto"/>
              </w:rPr>
              <w:t>96,692</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81,572</w:t>
            </w:r>
          </w:p>
        </w:tc>
        <w:tc>
          <w:tcPr>
            <w:tcW w:w="980" w:type="dxa"/>
            <w:vAlign w:val="bottom"/>
            <w:gridSpan w:val="2"/>
          </w:tcPr>
          <w:p>
            <w:pPr>
              <w:ind w:left="340"/>
              <w:spacing w:after="0"/>
              <w:rPr>
                <w:sz w:val="20"/>
                <w:szCs w:val="20"/>
                <w:color w:val="auto"/>
              </w:rPr>
            </w:pPr>
            <w:r>
              <w:rPr>
                <w:rFonts w:ascii="Arial" w:cs="Arial" w:eastAsia="Arial" w:hAnsi="Arial"/>
                <w:sz w:val="13"/>
                <w:szCs w:val="13"/>
                <w:color w:val="auto"/>
              </w:rPr>
              <w:t>2-15 years</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information systems</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45,406</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42,526</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1-15 years</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Construction in progress</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20,137</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5,039</w:t>
            </w: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210,027</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173,984</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Less: Accumulated depreciation</w:t>
            </w:r>
          </w:p>
        </w:tc>
        <w:tc>
          <w:tcPr>
            <w:tcW w:w="180" w:type="dxa"/>
            <w:vAlign w:val="bottom"/>
          </w:tcPr>
          <w:p>
            <w:pPr>
              <w:spacing w:after="0"/>
              <w:rPr>
                <w:sz w:val="13"/>
                <w:szCs w:val="13"/>
                <w:color w:val="auto"/>
              </w:rPr>
            </w:pPr>
          </w:p>
        </w:tc>
        <w:tc>
          <w:tcPr>
            <w:tcW w:w="1020" w:type="dxa"/>
            <w:vAlign w:val="bottom"/>
            <w:gridSpan w:val="2"/>
          </w:tcPr>
          <w:p>
            <w:pPr>
              <w:jc w:val="right"/>
              <w:ind w:right="293"/>
              <w:spacing w:after="0"/>
              <w:rPr>
                <w:sz w:val="20"/>
                <w:szCs w:val="20"/>
                <w:color w:val="auto"/>
              </w:rPr>
            </w:pPr>
            <w:r>
              <w:rPr>
                <w:rFonts w:ascii="Arial" w:cs="Arial" w:eastAsia="Arial" w:hAnsi="Arial"/>
                <w:sz w:val="13"/>
                <w:szCs w:val="13"/>
                <w:color w:val="auto"/>
              </w:rPr>
              <w:t>(110,571)</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(90,458)</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99,456</w:t>
            </w:r>
          </w:p>
        </w:tc>
        <w:tc>
          <w:tcPr>
            <w:tcW w:w="38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83,526</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Depreciation expense associated with property, plant and equipment was $21.3 million, $18.8 million and $12.8 million for the years ended December 31, 2010, 2009 and 2008, respectively.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determined using a discounted cash flow methodology. No impairment of goodwill has been identified during any of the periods presented.</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the carrying amount of goodwill in 2010 and 2009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261,941</w:t>
            </w:r>
          </w:p>
        </w:tc>
        <w:tc>
          <w:tcPr>
            <w:tcW w:w="40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212,094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Accumulated impairment losses</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Goodwill, beginning of year</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261,941</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212,094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Integra Spine acquisition, earnout payment and working capital adjustment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3,400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49,796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Welch Allyn, Inc. acquisition</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Minnesota Scientific acquisition and working capital adjustment</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Canada Microsurgical earnout payment adjustments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Integra Neurosciences Pty Ltd. earnout payment and working capital adjustments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1,016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and other</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(5,030)</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Goodwill, end of year</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261,928</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261,941</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During the second quarter of 2010, the Company recorded a $0.8 million impairment charge related to several brand names. The impairment charge relates to management’s decision with respect to the Company’s re-branding</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strategy for several legacy brand names. The Company has recorded the charge as a component of amortization expense.</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During the third quarter of 2009, the Company recorded a $0.9 million impairment charge related to a technology-based intangible asset as a component of its cost of product revenues. The impairment charge relates to decisions made by management to discontinue development of the related technology. The Company also recorded a $0.6 million impairment charge related to a trade name in connection with the revised expected benefit from the related trade name.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the Company’s identifiable intangible assets were as follows (dollars in thousands):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3"/>
              </w:rPr>
              <w:t>Weighted</w:t>
            </w: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9"/>
                <w:szCs w:val="9"/>
                <w:b w:val="1"/>
                <w:bCs w:val="1"/>
                <w:color w:val="auto"/>
                <w:w w:val="91"/>
              </w:rPr>
              <w:t>December 31, 2010</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9"/>
                <w:szCs w:val="9"/>
                <w:b w:val="1"/>
                <w:bCs w:val="1"/>
                <w:color w:val="auto"/>
                <w:w w:val="93"/>
              </w:rPr>
              <w:t>December 31, 2009</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1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920" w:type="dxa"/>
            <w:vAlign w:val="bottom"/>
            <w:gridSpan w:val="2"/>
          </w:tcPr>
          <w:p>
            <w:pPr>
              <w:jc w:val="center"/>
              <w:ind w:right="240"/>
              <w:spacing w:after="0" w:line="75" w:lineRule="exact"/>
              <w:rPr>
                <w:sz w:val="20"/>
                <w:szCs w:val="20"/>
                <w:color w:val="auto"/>
              </w:rPr>
            </w:pPr>
            <w:r>
              <w:rPr>
                <w:rFonts w:ascii="Arial" w:cs="Arial" w:eastAsia="Arial" w:hAnsi="Arial"/>
                <w:sz w:val="8"/>
                <w:szCs w:val="8"/>
                <w:b w:val="1"/>
                <w:bCs w:val="1"/>
                <w:color w:val="auto"/>
              </w:rPr>
              <w:t>Average</w:t>
            </w: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tcPr>
          <w:p>
            <w:pPr>
              <w:jc w:val="right"/>
              <w:ind w:right="340"/>
              <w:spacing w:after="0" w:line="7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tcPr>
          <w:p>
            <w:pPr>
              <w:jc w:val="right"/>
              <w:ind w:right="340"/>
              <w:spacing w:after="0" w:line="7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11"/>
        </w:trPr>
        <w:tc>
          <w:tcPr>
            <w:tcW w:w="1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7"/>
              </w:rPr>
              <w:t>Life</w:t>
            </w:r>
          </w:p>
        </w:tc>
        <w:tc>
          <w:tcPr>
            <w:tcW w:w="160" w:type="dxa"/>
            <w:vAlign w:val="bottom"/>
          </w:tcPr>
          <w:p>
            <w:pPr>
              <w:spacing w:after="0"/>
              <w:rPr>
                <w:sz w:val="9"/>
                <w:szCs w:val="9"/>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rPr>
              <w:t>Cost</w:t>
            </w:r>
          </w:p>
        </w:tc>
        <w:tc>
          <w:tcPr>
            <w:tcW w:w="100" w:type="dxa"/>
            <w:vAlign w:val="bottom"/>
          </w:tcPr>
          <w:p>
            <w:pPr>
              <w:spacing w:after="0"/>
              <w:rPr>
                <w:sz w:val="9"/>
                <w:szCs w:val="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98"/>
              </w:rPr>
              <w:t>Amortization</w:t>
            </w:r>
          </w:p>
        </w:tc>
        <w:tc>
          <w:tcPr>
            <w:tcW w:w="160" w:type="dxa"/>
            <w:vAlign w:val="bottom"/>
          </w:tcPr>
          <w:p>
            <w:pPr>
              <w:spacing w:after="0"/>
              <w:rPr>
                <w:sz w:val="9"/>
                <w:szCs w:val="9"/>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9"/>
                <w:szCs w:val="9"/>
                <w:b w:val="1"/>
                <w:bCs w:val="1"/>
                <w:color w:val="auto"/>
              </w:rPr>
              <w:t>Net</w:t>
            </w:r>
          </w:p>
        </w:tc>
        <w:tc>
          <w:tcPr>
            <w:tcW w:w="160" w:type="dxa"/>
            <w:vAlign w:val="bottom"/>
          </w:tcPr>
          <w:p>
            <w:pPr>
              <w:spacing w:after="0"/>
              <w:rPr>
                <w:sz w:val="9"/>
                <w:szCs w:val="9"/>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Cost</w:t>
            </w:r>
          </w:p>
        </w:tc>
        <w:tc>
          <w:tcPr>
            <w:tcW w:w="100" w:type="dxa"/>
            <w:vAlign w:val="bottom"/>
          </w:tcPr>
          <w:p>
            <w:pPr>
              <w:spacing w:after="0"/>
              <w:rPr>
                <w:sz w:val="9"/>
                <w:szCs w:val="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98"/>
              </w:rPr>
              <w:t>Amortization</w:t>
            </w:r>
          </w:p>
        </w:tc>
        <w:tc>
          <w:tcPr>
            <w:tcW w:w="160" w:type="dxa"/>
            <w:vAlign w:val="bottom"/>
          </w:tcPr>
          <w:p>
            <w:pPr>
              <w:spacing w:after="0"/>
              <w:rPr>
                <w:sz w:val="9"/>
                <w:szCs w:val="9"/>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rPr>
              <w:t>Net</w:t>
            </w:r>
          </w:p>
        </w:tc>
      </w:tr>
      <w:tr>
        <w:trPr>
          <w:trHeight w:val="29"/>
        </w:trPr>
        <w:tc>
          <w:tcPr>
            <w:tcW w:w="1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Completed technology</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 years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69,261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(28,062)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41,199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69,632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(22,526)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47,106</w:t>
            </w:r>
          </w:p>
        </w:tc>
      </w:tr>
      <w:tr>
        <w:trPr>
          <w:trHeight w:val="157"/>
        </w:trPr>
        <w:tc>
          <w:tcPr>
            <w:tcW w:w="3620" w:type="dxa"/>
            <w:vAlign w:val="bottom"/>
            <w:gridSpan w:val="2"/>
          </w:tcPr>
          <w:p>
            <w:pPr>
              <w:spacing w:after="0"/>
              <w:rPr>
                <w:sz w:val="20"/>
                <w:szCs w:val="20"/>
                <w:color w:val="auto"/>
              </w:rPr>
            </w:pPr>
            <w:r>
              <w:rPr>
                <w:rFonts w:ascii="Arial" w:cs="Arial" w:eastAsia="Arial" w:hAnsi="Arial"/>
                <w:sz w:val="13"/>
                <w:szCs w:val="13"/>
                <w:color w:val="auto"/>
              </w:rPr>
              <w:t>Customer relationships</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12 years</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99,290</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(45,505)</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53,785</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97,922</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(36,724)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61,198</w:t>
            </w:r>
          </w:p>
        </w:tc>
      </w:tr>
      <w:tr>
        <w:trPr>
          <w:trHeight w:val="157"/>
        </w:trPr>
        <w:tc>
          <w:tcPr>
            <w:tcW w:w="3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Trademarks/brand names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 years</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33,448</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(8,467)</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24,981</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35,741</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(8,692)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27,049</w:t>
            </w:r>
          </w:p>
        </w:tc>
      </w:tr>
      <w:tr>
        <w:trPr>
          <w:trHeight w:val="157"/>
        </w:trPr>
        <w:tc>
          <w:tcPr>
            <w:tcW w:w="3620" w:type="dxa"/>
            <w:vAlign w:val="bottom"/>
            <w:gridSpan w:val="2"/>
          </w:tcPr>
          <w:p>
            <w:pPr>
              <w:spacing w:after="0"/>
              <w:rPr>
                <w:sz w:val="20"/>
                <w:szCs w:val="20"/>
                <w:color w:val="auto"/>
              </w:rPr>
            </w:pPr>
            <w:r>
              <w:rPr>
                <w:rFonts w:ascii="Arial" w:cs="Arial" w:eastAsia="Arial" w:hAnsi="Arial"/>
                <w:sz w:val="13"/>
                <w:szCs w:val="13"/>
                <w:color w:val="auto"/>
              </w:rPr>
              <w:t>Trademarks/brand names</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Indefinite</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49,384</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49,384</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49,384</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49,384</w:t>
            </w:r>
          </w:p>
        </w:tc>
      </w:tr>
      <w:tr>
        <w:trPr>
          <w:trHeight w:val="157"/>
        </w:trPr>
        <w:tc>
          <w:tcPr>
            <w:tcW w:w="3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Supplier relationships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 years</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29,300</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(4,525)</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24,775</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29,300</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(3,647)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25,653</w:t>
            </w:r>
          </w:p>
        </w:tc>
      </w:tr>
      <w:tr>
        <w:trPr>
          <w:trHeight w:val="157"/>
        </w:trPr>
        <w:tc>
          <w:tcPr>
            <w:tcW w:w="3620" w:type="dxa"/>
            <w:vAlign w:val="bottom"/>
            <w:gridSpan w:val="2"/>
          </w:tcPr>
          <w:p>
            <w:pPr>
              <w:spacing w:after="0"/>
              <w:rPr>
                <w:sz w:val="20"/>
                <w:szCs w:val="20"/>
                <w:color w:val="auto"/>
              </w:rPr>
            </w:pPr>
            <w:r>
              <w:rPr>
                <w:rFonts w:ascii="Arial" w:cs="Arial" w:eastAsia="Arial" w:hAnsi="Arial"/>
                <w:sz w:val="13"/>
                <w:szCs w:val="13"/>
                <w:color w:val="auto"/>
              </w:rPr>
              <w:t>All other(1)</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15 years</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8,440</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(7,660)</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780</w:t>
            </w:r>
          </w:p>
        </w:tc>
        <w:tc>
          <w:tcPr>
            <w:tcW w:w="1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8,197</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(7,470)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727</w:t>
            </w:r>
          </w:p>
        </w:tc>
      </w:tr>
      <w:tr>
        <w:trPr>
          <w:trHeight w:val="20"/>
        </w:trPr>
        <w:tc>
          <w:tcPr>
            <w:tcW w:w="1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289,123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(94,219)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194,904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290,176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(79,059)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211,117</w:t>
            </w:r>
          </w:p>
        </w:tc>
      </w:tr>
      <w:tr>
        <w:trPr>
          <w:trHeight w:val="108"/>
        </w:trPr>
        <w:tc>
          <w:tcPr>
            <w:tcW w:w="1300" w:type="dxa"/>
            <w:vAlign w:val="bottom"/>
            <w:tcBorders>
              <w:bottom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All other includes $0.3 million of in-process research and development at December 31, 2010, which is indefinite lived.</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Amortization expense for the years ended December 31, 2010, 2009 and 2008 was $17.9 million, $21.0 million and $17.6 million, respectively. Annual amortization expense is expected to approximate $16.9 million in 2011, $16.6 million in 2012, $13.9 million in 2013, $12.9 million in 2014 and $11.4 million in 2015. Amortization of product technology-based intangible assets, which totaled $5.9 million, $6.6 million and $4.8 million for the years ended December 31, 2010, 2009 and 2008, respectively, is presented by the Company within cost of product revenues.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INTEGRA FOUNDATION</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$0.7 million, $0.6 million and $1.1 million to the Integra Foundation during the years ended December 31, 2010, 2009 and 2008, respectively. These contributions were recorded in selling, general, and administrative expense.</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DERIVATIVES</w:t>
      </w:r>
    </w:p>
    <w:p>
      <w:pPr>
        <w:spacing w:after="0" w:line="96"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all of its derivatives are designated as hedges.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hedges in the same category as the item being hedged for cash flow presentation purposes.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Income taxes are accounted by using the asset and liability method in accounting for income taxes. Deferred tax assets and liabilities are recognized for the estimated future tax consequences attributable to differences between the financial statement carrying amounts of existing assets and liabilities and their respective tax bases.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7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either current or long-term liabilities in the consolidated balance sheet of the Company based on when the company expects each of the items to be settled. The Company</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also records interest and penalties accrued in relation to uncertain tax benefits as a component of income tax expense.</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While the Company believes it has identified all reasonably identifiable exposures and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67"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The Company’s historical policy has been to leave its unremitted foreign earnings invested indefinitely outside the United States, and it intends to continue this policy. As such, taxes have not been provided on any of the remaining accumulated foreign unremitted earnings. Where it has become apparent that some or all of the undistributed earnings will be remitted in the foreseeable future, tax consequences are considered.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Total revenues, net, include product sales, product royalties and other revenues, such as fees received under research, licensing, and distribution arrangements, research grants, and technology-related royalties.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Revenue is recognized when persuasive evidence of an arrangement exists, delivery has occurred and title and risk of loss have passed to the customer, there is a fixed or determinable sales price, and collectibility of that sales price is reasonably assured. For product sales, the Company’s stated terms are primarily FOB shipping point and with most customers, title and risk of loss pass to the customer at that time. With certain United States customers, the Company retains risk of loss until the customers receive the product, and in those situations, the Company recognizes revenue upon receipt by the customer.</w:t>
      </w:r>
    </w:p>
    <w:p>
      <w:pPr>
        <w:spacing w:after="0" w:line="7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Each revenue transaction is evidenced by either a contract with the customer or a valid purchase order and an invoice which includes all relevant terms of sale. There are generally no significant customer acceptance or other conditions that prevent the Company from recognizing revenue in accordance with its delivery terms. In certain cases, where the Company has performance obligations that are significant to the functionality of the product, the Company recognizes revenue upon fulfillment of its obligation.</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Sales invoices issued to customers contain the Company’s price for each product or service. The Company performs a review of each specific customer’s credit worthiness and ability to pay prior to accepting them as a customer. Further, the Company performs periodic reviews of its customers’ status prospectively.</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59" w:lineRule="exact"/>
        <w:rPr>
          <w:sz w:val="20"/>
          <w:szCs w:val="20"/>
          <w:color w:val="auto"/>
        </w:rPr>
      </w:pPr>
    </w:p>
    <w:p>
      <w:pPr>
        <w:ind w:left="680" w:right="680" w:firstLine="399"/>
        <w:spacing w:after="0" w:line="276" w:lineRule="auto"/>
        <w:rPr>
          <w:sz w:val="20"/>
          <w:szCs w:val="20"/>
          <w:color w:val="auto"/>
        </w:rPr>
      </w:pPr>
      <w:r>
        <w:rPr>
          <w:rFonts w:ascii="Arial" w:cs="Arial" w:eastAsia="Arial" w:hAnsi="Arial"/>
          <w:sz w:val="13"/>
          <w:szCs w:val="13"/>
          <w:color w:val="auto"/>
        </w:rPr>
        <w:t>The Company’s return policy, as set forth in its product catalogs and sales invoices, requires the Company to review and authorize the return of product in advance. Upon authorization, a credit will be issued for goods returned within a set amount of days from shipment, which is generally ninety days.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Product royalties are estimated and recognized in the same period that the royalty products are sold by our customers. The Company estimates and recognizes royalty revenue based upon communication with licensees, historical information and expected sales trends. Differences between actual revenues and estimated royalty revenues are adjusted in the period in which they become known, which is typically the following quarter. Historically, such adjustments have not been significant.</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Other operating revenues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spacing w:after="0" w:line="320" w:lineRule="auto"/>
        <w:rPr>
          <w:sz w:val="20"/>
          <w:szCs w:val="20"/>
          <w:color w:val="auto"/>
        </w:rPr>
      </w:pPr>
      <w:r>
        <w:rPr>
          <w:rFonts w:ascii="Arial" w:cs="Arial" w:eastAsia="Arial" w:hAnsi="Arial"/>
          <w:sz w:val="12"/>
          <w:szCs w:val="12"/>
          <w:color w:val="auto"/>
        </w:rPr>
        <w:t>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SHIPPING AND HANDLING FEES AND COSTS</w:t>
      </w:r>
    </w:p>
    <w:p>
      <w:pPr>
        <w:spacing w:after="0" w:line="96"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Amounts billed to customers for shipping and handling are included in revenues. The related shipping and freight charges incurred by the Company are included in cost of product revenues. Distribution and handling costs of $9.6 million, $8.3 million and $7.7 million were recorded in selling, general and administrative expense during the years ended December 31, 2010, 2009 and 2008, respectively.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PRODUCT WARRANTIES</w:t>
      </w:r>
    </w:p>
    <w:p>
      <w:pPr>
        <w:spacing w:after="0" w:line="96" w:lineRule="exact"/>
        <w:rPr>
          <w:sz w:val="20"/>
          <w:szCs w:val="20"/>
          <w:color w:val="auto"/>
        </w:rPr>
      </w:pPr>
    </w:p>
    <w:p>
      <w:pPr>
        <w:ind w:left="680" w:right="420" w:firstLine="399"/>
        <w:spacing w:after="0" w:line="296" w:lineRule="auto"/>
        <w:rPr>
          <w:sz w:val="20"/>
          <w:szCs w:val="20"/>
          <w:color w:val="auto"/>
        </w:rPr>
      </w:pPr>
      <w:r>
        <w:rPr>
          <w:rFonts w:ascii="Arial" w:cs="Arial" w:eastAsia="Arial" w:hAnsi="Arial"/>
          <w:sz w:val="12"/>
          <w:szCs w:val="12"/>
          <w:color w:val="auto"/>
        </w:rPr>
        <w:t>Certain of the Company’s medical devices, including monitoring systems and neurosurgical systems, are reusable and are designed to operate over long periods of time. These products are sold with warranties generally extending for up to two years from date of purchase. The Company accrues estimated product warranty costs at the time of sale based on historical experience. Any additional amounts are recorded when such costs are probable and can be reasonably estimated.</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Accrued warranty expense consisted of the following:</w:t>
      </w:r>
    </w:p>
    <w:p>
      <w:pPr>
        <w:spacing w:after="0" w:line="98" w:lineRule="exact"/>
        <w:rPr>
          <w:sz w:val="20"/>
          <w:szCs w:val="20"/>
          <w:color w:val="auto"/>
        </w:rPr>
      </w:pPr>
    </w:p>
    <w:p>
      <w:pPr>
        <w:jc w:val="center"/>
        <w:ind w:left="868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6350</wp:posOffset>
            </wp:positionV>
            <wp:extent cx="62420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4205" cy="6350"/>
                    </a:xfrm>
                    <a:prstGeom prst="rect">
                      <a:avLst/>
                    </a:prstGeom>
                    <a:noFill/>
                  </pic:spPr>
                </pic:pic>
              </a:graphicData>
            </a:graphic>
          </wp:anchor>
        </w:drawing>
      </w:r>
    </w:p>
    <w:p>
      <w:pPr>
        <w:ind w:left="9620"/>
        <w:spacing w:after="0"/>
        <w:tabs>
          <w:tab w:leader="none" w:pos="10300" w:val="left"/>
        </w:tabs>
        <w:rPr>
          <w:sz w:val="20"/>
          <w:szCs w:val="20"/>
          <w:color w:val="auto"/>
        </w:rPr>
      </w:pPr>
      <w:r>
        <w:rPr>
          <w:rFonts w:ascii="Arial" w:cs="Arial" w:eastAsia="Arial" w:hAnsi="Arial"/>
          <w:sz w:val="10"/>
          <w:szCs w:val="10"/>
          <w:b w:val="1"/>
          <w:bCs w:val="1"/>
          <w:color w:val="auto"/>
        </w:rPr>
        <w:t>2010</w:t>
      </w:r>
      <w:r>
        <w:rPr>
          <w:sz w:val="20"/>
          <w:szCs w:val="20"/>
          <w:color w:val="auto"/>
        </w:rPr>
        <w:tab/>
      </w:r>
      <w:r>
        <w:rPr>
          <w:rFonts w:ascii="Arial" w:cs="Arial" w:eastAsia="Arial" w:hAnsi="Arial"/>
          <w:sz w:val="10"/>
          <w:szCs w:val="10"/>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-635</wp:posOffset>
            </wp:positionV>
            <wp:extent cx="18732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7325" cy="6350"/>
                    </a:xfrm>
                    <a:prstGeom prst="rect">
                      <a:avLst/>
                    </a:prstGeom>
                    <a:noFill/>
                  </pic:spPr>
                </pic:pic>
              </a:graphicData>
            </a:graphic>
          </wp:anchor>
        </w:drawing>
        <w:drawing>
          <wp:anchor simplePos="0" relativeHeight="251657728" behindDoc="1" locked="0" layoutInCell="0" allowOverlap="1">
            <wp:simplePos x="0" y="0"/>
            <wp:positionH relativeFrom="column">
              <wp:posOffset>6521450</wp:posOffset>
            </wp:positionH>
            <wp:positionV relativeFrom="paragraph">
              <wp:posOffset>-635</wp:posOffset>
            </wp:positionV>
            <wp:extent cx="18732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7325" cy="6350"/>
                    </a:xfrm>
                    <a:prstGeom prst="rect">
                      <a:avLst/>
                    </a:prstGeom>
                    <a:noFill/>
                  </pic:spPr>
                </pic:pic>
              </a:graphicData>
            </a:graphic>
          </wp:anchor>
        </w:drawing>
      </w:r>
    </w:p>
    <w:p>
      <w:pPr>
        <w:ind w:left="9760"/>
        <w:spacing w:after="0"/>
        <w:rPr>
          <w:sz w:val="20"/>
          <w:szCs w:val="20"/>
          <w:color w:val="auto"/>
        </w:rPr>
      </w:pPr>
      <w:r>
        <w:rPr>
          <w:rFonts w:ascii="Arial" w:cs="Arial" w:eastAsia="Arial" w:hAnsi="Arial"/>
          <w:sz w:val="10"/>
          <w:szCs w:val="10"/>
          <w:b w:val="1"/>
          <w:bCs w:val="1"/>
          <w:color w:val="auto"/>
        </w:rPr>
        <w:t>(In thousands)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$ 632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$ 701</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Net change</w:t>
            </w: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(84)</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(69)</w:t>
            </w:r>
          </w:p>
        </w:tc>
      </w:tr>
      <w:tr>
        <w:trPr>
          <w:trHeight w:val="20"/>
        </w:trPr>
        <w:tc>
          <w:tcPr>
            <w:tcW w:w="8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$ 548</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$ 632</w:t>
            </w:r>
          </w:p>
        </w:tc>
      </w:tr>
      <w:tr>
        <w:trPr>
          <w:trHeight w:val="29"/>
        </w:trPr>
        <w:tc>
          <w:tcPr>
            <w:tcW w:w="89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In-process research and development recorded in connection with acquisitions represent the value assigned to acquired assets to be used in research and development activities and for which there is no alternative use. Value is generally assigned to these assets based on the net present value of the projected cash flows expected to be generated by those assets.</w:t>
      </w:r>
    </w:p>
    <w:p>
      <w:pPr>
        <w:spacing w:after="0" w:line="35"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During 2010 the Company capitalized $0.3 million of in-process research and development costs related to the Welch Allyn, Inc. acquisition. In accordance with the business combination rules at the time, the Company recorded in-process research and development charges of $0.3 million related to certain assets acquired from Innovative Spinal Technologies, Inc. in 2009, and $25.2 million related to the Integra Spine acquisition in 2008. The 2009 and 2008 charges were related to technology that had not yet reached feasibility and had no alternative future use.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EMPLOYEE TERMINATION BENEFITS AND OTHER EXIT-RELATED COSTS</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supplemental benefits paid in excess of statutory minimum amounts and benefits offered to affected employees based on management’s discretion, the Company records these termination costs in accordance with the authoritative guidance for exit or disposal costs.</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employee communication requirements have been met.</w:t>
      </w:r>
    </w:p>
    <w:p>
      <w:pPr>
        <w:spacing w:after="0" w:line="70" w:lineRule="exact"/>
        <w:rPr>
          <w:sz w:val="20"/>
          <w:szCs w:val="20"/>
          <w:color w:val="auto"/>
        </w:rPr>
      </w:pPr>
    </w:p>
    <w:p>
      <w:pPr>
        <w:jc w:val="both"/>
        <w:ind w:left="680" w:right="180" w:firstLine="399"/>
        <w:spacing w:after="0" w:line="260" w:lineRule="auto"/>
        <w:rPr>
          <w:sz w:val="20"/>
          <w:szCs w:val="20"/>
          <w:color w:val="auto"/>
        </w:rPr>
      </w:pPr>
      <w:r>
        <w:rPr>
          <w:rFonts w:ascii="Arial" w:cs="Arial" w:eastAsia="Arial" w:hAnsi="Arial"/>
          <w:sz w:val="13"/>
          <w:szCs w:val="13"/>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on the cease-use date.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The Company applies the authoritative guidance for stock-based compensation. This guidance requires companies to recognize the expense related to the fair value of their stock-based compensation awards. Since the adoption of the guidance, there have been no changes to the Company’s stock compensation plans or modifications to outstanding stock-based awards which would change the value of any awards outstanding. Stock-based compensation expense for stock option awards granted after January 1, 2006 was based on the fair value on the grant date using the binomial distribution model. The Company recognized compensation expense for stock option awards, restricted stock awards, performance stock awards and contract stock awards on a ratable basis over the requisite service period of the award. The long form method was used in the determination of the windfall tax benefit in accordance with the guidance.</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PENSION BENEFITS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Defined benefit pension plans cover certain employees in the U.K. and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3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67"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Pension contributions are expected to be consistent over the next few years since the Miltex plan was dissolved in 2008, the Germany plan is frozen and the U.K. plan is closed to new participants. Contributions to the plans during the years ended December 31, 2010, 2009 and 2008 were $1.1 million, $0.4 million and $0.5 million, respectively.</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Financial instruments, which potentially subject the Company to concentrations of credit risk, consist principally of cash and cash equivalents, which are held at major financial institutions, investment-grade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marketable debt securities and trade receivables. The Company’s products are sold on an uncollateralized basis and on credit terms based upon a credit risk assessment of each customer.</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SUPPLEMENTAL CASH FLOW INFORMATION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Cash paid for interest for the years ended December 31, 2010, 2009 and 2008 was $8.8 million, $11.3 million and $17.3 million, respectively. Cash paid for income taxes for the years ended December 31, 2010, 2009 and 2008 was $23.4 million, $20.5 million and $41.2 million, respectively. Property and equipment purchases included in liabilities at December 31, 2010, 2009 and 2008 was $1.1 million, $1.0 million and $0.6 million, respectively.</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During the year ended December 31, 2010, 282,086 stock options were exercised, whereby in lieu of a cash payment for the exercise price, an option holder tendered 73,546 shares of Company stock that had a fair market value of approximately $3.1 million. These tendered shares were then immediately retired.</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connection with the amendment and restatement of the Company’s Senior Credit Facility during the year ended December 31, 2010, $150.0 million of the Company’s revolving credit facility was converted into a term loan.</w:t>
      </w:r>
    </w:p>
    <w:p>
      <w:pPr>
        <w:spacing w:after="0" w:line="134" w:lineRule="exact"/>
        <w:rPr>
          <w:sz w:val="20"/>
          <w:szCs w:val="20"/>
          <w:color w:val="auto"/>
        </w:rPr>
      </w:pPr>
    </w:p>
    <w:p>
      <w:pPr>
        <w:ind w:left="1000" w:hanging="313"/>
        <w:spacing w:after="0"/>
        <w:tabs>
          <w:tab w:leader="none" w:pos="100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Culley Investments Pty. Ltd</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September 2010, the Company acquired certain assets as well as the distribution rights for its extremity reconstruction product lines in Australia from Culley Investments Pty. Ltd. (“Culley”) for approximately $1.6 million (1.7 million Australian dollars) in cash. The Company has determined that this acquisition met the definition of a business under the authoritative guidance. For eight years, Culley has been the Company’s distributor of these products in Australia. The acquisition provides the Company with the ability to sell orthopedic products directly to its Australian customers.</w:t>
      </w:r>
    </w:p>
    <w:p>
      <w:pPr>
        <w:spacing w:after="0" w:line="70"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6700" w:type="dxa"/>
            <w:vAlign w:val="bottom"/>
          </w:tcPr>
          <w:p>
            <w:pPr>
              <w:ind w:left="400"/>
              <w:spacing w:after="0"/>
              <w:rPr>
                <w:sz w:val="20"/>
                <w:szCs w:val="20"/>
                <w:color w:val="auto"/>
              </w:rPr>
            </w:pPr>
            <w:r>
              <w:rPr>
                <w:rFonts w:ascii="Arial" w:cs="Arial" w:eastAsia="Arial" w:hAnsi="Arial"/>
                <w:sz w:val="13"/>
                <w:szCs w:val="13"/>
                <w:color w:val="auto"/>
              </w:rPr>
              <w:t>The final purchase price has been allocated as follows (in thousands):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00"/>
        </w:trPr>
        <w:tc>
          <w:tcPr>
            <w:tcW w:w="6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rPr>
              <w:t>878</w:t>
            </w:r>
          </w:p>
        </w:tc>
        <w:tc>
          <w:tcPr>
            <w:tcW w:w="206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140" w:type="dxa"/>
            <w:vAlign w:val="bottom"/>
          </w:tcPr>
          <w:p>
            <w:pPr>
              <w:spacing w:after="0"/>
              <w:rPr>
                <w:sz w:val="13"/>
                <w:szCs w:val="13"/>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3"/>
                <w:szCs w:val="13"/>
                <w:color w:val="auto"/>
              </w:rPr>
              <w:t>319</w:t>
            </w:r>
          </w:p>
        </w:tc>
        <w:tc>
          <w:tcPr>
            <w:tcW w:w="2060" w:type="dxa"/>
            <w:vAlign w:val="bottom"/>
          </w:tcPr>
          <w:p>
            <w:pPr>
              <w:spacing w:after="0"/>
              <w:rPr>
                <w:sz w:val="13"/>
                <w:szCs w:val="13"/>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 Customer relationships</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rPr>
              <w:t>373</w:t>
            </w:r>
          </w:p>
        </w:tc>
        <w:tc>
          <w:tcPr>
            <w:tcW w:w="2060" w:type="dxa"/>
            <w:vAlign w:val="bottom"/>
            <w:shd w:val="clear" w:color="auto" w:fill="CCEEFF"/>
          </w:tcPr>
          <w:p>
            <w:pPr>
              <w:ind w:left="700"/>
              <w:spacing w:after="0"/>
              <w:rPr>
                <w:sz w:val="20"/>
                <w:szCs w:val="20"/>
                <w:color w:val="auto"/>
              </w:rPr>
            </w:pPr>
            <w:r>
              <w:rPr>
                <w:rFonts w:ascii="Arial" w:cs="Arial" w:eastAsia="Arial" w:hAnsi="Arial"/>
                <w:sz w:val="13"/>
                <w:szCs w:val="13"/>
                <w:color w:val="auto"/>
                <w:w w:val="99"/>
              </w:rPr>
              <w:t>Wtd. Avg. Life 12 years</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Total net assets acquired</w:t>
            </w: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1,570</w:t>
            </w: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r>
    </w:tbl>
    <w:p>
      <w:pPr>
        <w:spacing w:after="0" w:line="168"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Welch Allyn, Inc</w:t>
      </w:r>
      <w:r>
        <w:rPr>
          <w:rFonts w:ascii="Arial" w:cs="Arial" w:eastAsia="Arial" w:hAnsi="Arial"/>
          <w:sz w:val="13"/>
          <w:szCs w:val="13"/>
          <w:i w:val="1"/>
          <w:iCs w:val="1"/>
          <w:color w:val="auto"/>
        </w:rPr>
        <w: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May 2010, the Company acquired certain assets and liabilities of the surgical headlight business of Welch Allyn, Inc. (“Welch”) for approximately $2.4 million in cash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$0.2 million of working capital adjustments. The Company determined that this acquisition met the definition of a business under the authoritative guidance. The Company believes that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assets acquired will further its goal of expanding its reach into the surgical headlight market. The goodwill recorded in connection with this acquisition was based on the benefits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 expects to generate from Welch’s future cash flows and is not deductible for tax purposes.</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49"/>
        </w:trPr>
        <w:tc>
          <w:tcPr>
            <w:tcW w:w="83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400" w:type="dxa"/>
            <w:vAlign w:val="bottom"/>
          </w:tcPr>
          <w:p>
            <w:pPr>
              <w:jc w:val="center"/>
              <w:ind w:left="1934"/>
              <w:spacing w:after="0"/>
              <w:rPr>
                <w:sz w:val="20"/>
                <w:szCs w:val="20"/>
                <w:color w:val="auto"/>
              </w:rPr>
            </w:pPr>
            <w:r>
              <w:rPr>
                <w:rFonts w:ascii="Arial" w:cs="Arial" w:eastAsia="Arial" w:hAnsi="Arial"/>
                <w:sz w:val="13"/>
                <w:szCs w:val="13"/>
                <w:b w:val="1"/>
                <w:bCs w:val="1"/>
                <w:color w:val="auto"/>
              </w:rPr>
              <w:t>INTEGRA LIFESCIENCES HOLDINGS CORPORATION</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0" w:type="dxa"/>
            <w:vAlign w:val="bottom"/>
          </w:tcPr>
          <w:p>
            <w:pPr>
              <w:jc w:val="center"/>
              <w:ind w:left="191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0" w:type="dxa"/>
            <w:vAlign w:val="bottom"/>
          </w:tcPr>
          <w:p>
            <w:pPr>
              <w:ind w:left="100"/>
              <w:spacing w:after="0"/>
              <w:rPr>
                <w:sz w:val="20"/>
                <w:szCs w:val="20"/>
                <w:color w:val="auto"/>
              </w:rPr>
            </w:pPr>
            <w:r>
              <w:rPr>
                <w:rFonts w:ascii="Arial" w:cs="Arial" w:eastAsia="Arial" w:hAnsi="Arial"/>
                <w:sz w:val="13"/>
                <w:szCs w:val="13"/>
                <w:color w:val="auto"/>
              </w:rPr>
              <w:t>The final purchase price has been allocated as follows (in thousands):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518</w:t>
            </w:r>
          </w:p>
        </w:tc>
        <w:tc>
          <w:tcPr>
            <w:tcW w:w="132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700" w:type="dxa"/>
            <w:vAlign w:val="bottom"/>
            <w:gridSpan w:val="2"/>
          </w:tcPr>
          <w:p>
            <w:pPr>
              <w:spacing w:after="0"/>
              <w:rPr>
                <w:sz w:val="20"/>
                <w:szCs w:val="20"/>
                <w:color w:val="auto"/>
              </w:rPr>
            </w:pPr>
            <w:r>
              <w:rPr>
                <w:rFonts w:ascii="Arial" w:cs="Arial" w:eastAsia="Arial" w:hAnsi="Arial"/>
                <w:sz w:val="13"/>
                <w:szCs w:val="13"/>
                <w:color w:val="auto"/>
              </w:rPr>
              <w:t>Inventory</w:t>
            </w:r>
          </w:p>
        </w:tc>
        <w:tc>
          <w:tcPr>
            <w:tcW w:w="140" w:type="dxa"/>
            <w:vAlign w:val="bottom"/>
          </w:tcPr>
          <w:p>
            <w:pPr>
              <w:spacing w:after="0"/>
              <w:rPr>
                <w:sz w:val="13"/>
                <w:szCs w:val="13"/>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3"/>
                <w:szCs w:val="13"/>
                <w:color w:val="auto"/>
              </w:rPr>
              <w:t>138</w:t>
            </w:r>
          </w:p>
        </w:tc>
        <w:tc>
          <w:tcPr>
            <w:tcW w:w="132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280</w:t>
            </w:r>
          </w:p>
        </w:tc>
        <w:tc>
          <w:tcPr>
            <w:tcW w:w="132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700" w:type="dxa"/>
            <w:vAlign w:val="bottom"/>
            <w:gridSpan w:val="2"/>
          </w:tcPr>
          <w:p>
            <w:pPr>
              <w:spacing w:after="0"/>
              <w:rPr>
                <w:sz w:val="20"/>
                <w:szCs w:val="20"/>
                <w:color w:val="auto"/>
              </w:rPr>
            </w:pPr>
            <w:r>
              <w:rPr>
                <w:rFonts w:ascii="Arial" w:cs="Arial" w:eastAsia="Arial" w:hAnsi="Arial"/>
                <w:sz w:val="13"/>
                <w:szCs w:val="13"/>
                <w:color w:val="auto"/>
              </w:rPr>
              <w:t>Intangible assets</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Wtd. Avg. Life</w:t>
            </w:r>
          </w:p>
        </w:tc>
      </w:tr>
      <w:tr>
        <w:trPr>
          <w:trHeight w:val="157"/>
        </w:trPr>
        <w:tc>
          <w:tcPr>
            <w:tcW w:w="680" w:type="dxa"/>
            <w:vAlign w:val="bottom"/>
          </w:tcPr>
          <w:p>
            <w:pPr>
              <w:spacing w:after="0"/>
              <w:rPr>
                <w:sz w:val="13"/>
                <w:szCs w:val="13"/>
                <w:color w:val="auto"/>
              </w:rPr>
            </w:pPr>
          </w:p>
        </w:tc>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Customer relationships</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490</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15 years</w:t>
            </w:r>
          </w:p>
        </w:tc>
      </w:tr>
      <w:tr>
        <w:trPr>
          <w:trHeight w:val="157"/>
        </w:trPr>
        <w:tc>
          <w:tcPr>
            <w:tcW w:w="680" w:type="dxa"/>
            <w:vAlign w:val="bottom"/>
          </w:tcPr>
          <w:p>
            <w:pPr>
              <w:spacing w:after="0"/>
              <w:rPr>
                <w:sz w:val="13"/>
                <w:szCs w:val="13"/>
                <w:color w:val="auto"/>
              </w:rPr>
            </w:pPr>
          </w:p>
        </w:tc>
        <w:tc>
          <w:tcPr>
            <w:tcW w:w="7700" w:type="dxa"/>
            <w:vAlign w:val="bottom"/>
            <w:gridSpan w:val="2"/>
          </w:tcPr>
          <w:p>
            <w:pPr>
              <w:ind w:left="140"/>
              <w:spacing w:after="0"/>
              <w:rPr>
                <w:sz w:val="20"/>
                <w:szCs w:val="20"/>
                <w:color w:val="auto"/>
              </w:rPr>
            </w:pPr>
            <w:r>
              <w:rPr>
                <w:rFonts w:ascii="Arial" w:cs="Arial" w:eastAsia="Arial" w:hAnsi="Arial"/>
                <w:sz w:val="13"/>
                <w:szCs w:val="13"/>
                <w:color w:val="auto"/>
              </w:rPr>
              <w:t>Technology</w:t>
            </w:r>
          </w:p>
        </w:tc>
        <w:tc>
          <w:tcPr>
            <w:tcW w:w="140" w:type="dxa"/>
            <w:vAlign w:val="bottom"/>
          </w:tcPr>
          <w:p>
            <w:pPr>
              <w:spacing w:after="0"/>
              <w:rPr>
                <w:sz w:val="13"/>
                <w:szCs w:val="13"/>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3"/>
                <w:szCs w:val="13"/>
                <w:color w:val="auto"/>
              </w:rPr>
              <w:t>263</w:t>
            </w: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6 years</w:t>
            </w:r>
          </w:p>
        </w:tc>
      </w:tr>
      <w:tr>
        <w:trPr>
          <w:trHeight w:val="157"/>
        </w:trPr>
        <w:tc>
          <w:tcPr>
            <w:tcW w:w="680" w:type="dxa"/>
            <w:vAlign w:val="bottom"/>
          </w:tcPr>
          <w:p>
            <w:pPr>
              <w:spacing w:after="0"/>
              <w:rPr>
                <w:sz w:val="13"/>
                <w:szCs w:val="13"/>
                <w:color w:val="auto"/>
              </w:rPr>
            </w:pPr>
          </w:p>
        </w:tc>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In-Process research and development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312</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Indefinite</w:t>
            </w:r>
          </w:p>
        </w:tc>
      </w:tr>
      <w:tr>
        <w:trPr>
          <w:trHeight w:val="157"/>
        </w:trPr>
        <w:tc>
          <w:tcPr>
            <w:tcW w:w="680" w:type="dxa"/>
            <w:vAlign w:val="bottom"/>
          </w:tcPr>
          <w:p>
            <w:pPr>
              <w:spacing w:after="0"/>
              <w:rPr>
                <w:sz w:val="13"/>
                <w:szCs w:val="13"/>
                <w:color w:val="auto"/>
              </w:rPr>
            </w:pPr>
          </w:p>
        </w:tc>
        <w:tc>
          <w:tcPr>
            <w:tcW w:w="770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140" w:type="dxa"/>
            <w:vAlign w:val="bottom"/>
          </w:tcPr>
          <w:p>
            <w:pPr>
              <w:spacing w:after="0"/>
              <w:rPr>
                <w:sz w:val="13"/>
                <w:szCs w:val="13"/>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3"/>
                <w:szCs w:val="13"/>
                <w:color w:val="auto"/>
              </w:rPr>
              <w:t>601</w:t>
            </w:r>
          </w:p>
        </w:tc>
        <w:tc>
          <w:tcPr>
            <w:tcW w:w="13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net assets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2,602</w:t>
            </w:r>
          </w:p>
        </w:tc>
        <w:tc>
          <w:tcPr>
            <w:tcW w:w="1320" w:type="dxa"/>
            <w:vAlign w:val="bottom"/>
            <w:shd w:val="clear" w:color="auto" w:fill="CCEEFF"/>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r>
    </w:tbl>
    <w:p>
      <w:pPr>
        <w:spacing w:after="0" w:line="168"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Integra Neurosciences Pty Ltd</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October 2008, the Company acquired Integra Neurosciences Pty Ltd. in Australia and Integra Neurosciences Pty Ltd. in New Zealand for $4.0 million (6.0 million Australian dollars) in cash at closing, $0.3 million in acquisition expenses and working capital adjustments, and up to $2.1 million (3.1 million Australian dollars) in future payments based on the performance of business in the three years after closing. Approximately $0.9 million (1.0 million Australian dollars) of this potential revenue performance obligation was paid in November 2009, and an additional $1.0 million (1.0 million Australian dollars) was paid in December 2010. With this acquisition of the Company’s long-standing distributor, the Company has a direct selling presence in Australia and New Zealand.</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Theken</w:t>
      </w:r>
    </w:p>
    <w:p>
      <w:pPr>
        <w:spacing w:after="0" w:line="96" w:lineRule="exact"/>
        <w:rPr>
          <w:sz w:val="20"/>
          <w:szCs w:val="20"/>
          <w:color w:val="auto"/>
        </w:rPr>
      </w:pPr>
    </w:p>
    <w:p>
      <w:pPr>
        <w:ind w:left="680" w:right="20" w:firstLine="399"/>
        <w:spacing w:after="0" w:line="303" w:lineRule="auto"/>
        <w:rPr>
          <w:sz w:val="20"/>
          <w:szCs w:val="20"/>
          <w:color w:val="auto"/>
        </w:rPr>
      </w:pPr>
      <w:r>
        <w:rPr>
          <w:rFonts w:ascii="Arial" w:cs="Arial" w:eastAsia="Arial" w:hAnsi="Arial"/>
          <w:sz w:val="11"/>
          <w:szCs w:val="11"/>
          <w:color w:val="auto"/>
        </w:rPr>
        <w:t>In August 2008 the Company acquired Theken Spine, LLC, Theken Disc, LLC and Therics, LLC (collectively, “Integra Spine”) for $75.0 million in cash, subject to certain adjustments, acquisition expenses of $2.4 million, working capital adjustments of $3.9 million, and up to $125.0 million in future payments based on the revenue performance of the business in each of the two years after closing. The Company paid approximately $52.0 million for the first year revenue performance obligation in November 2009 and accrued an additional</w:t>
      </w:r>
    </w:p>
    <w:p>
      <w:pPr>
        <w:jc w:val="both"/>
        <w:ind w:left="680" w:right="20"/>
        <w:spacing w:after="0" w:line="258" w:lineRule="auto"/>
        <w:rPr>
          <w:sz w:val="20"/>
          <w:szCs w:val="20"/>
          <w:color w:val="auto"/>
        </w:rPr>
      </w:pPr>
      <w:r>
        <w:rPr>
          <w:rFonts w:ascii="Arial" w:cs="Arial" w:eastAsia="Arial" w:hAnsi="Arial"/>
          <w:sz w:val="13"/>
          <w:szCs w:val="13"/>
          <w:color w:val="auto"/>
        </w:rPr>
        <w:t>$3.4 million in September 2010 related to the disputed settlement amount (See Note 12, “Commitments and Contingencies”). The Company believes that there are no additional amounts due for the second performance year. Integra Spine, based in Akron, Ohio, designs, develops and manufactures spinal fixation products, synthetic bone substitute products and spinal arthroplasty products.</w:t>
      </w:r>
    </w:p>
    <w:p>
      <w:pPr>
        <w:spacing w:after="0" w:line="71"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Management determined the preliminary fair value of assets acquired during the third quarter of 2008 and the purchase price allocation was finalized during the third quarter of 2009 with only minor adjustments to goodwill. The in-process research and development had not yet reached technological feasibility and had no alternative future use at the date of acquisition. The Company recorded an in-process research and development charge of $25.2 million in the third quarter of 2008 in connection with this acquisition, which was included in research and development expense. The goodwill recorded in connection with this acquisition was based on the benefits the Company expects to generate from Theken’s future cash flows and is deductible for tax purposes.</w:t>
      </w:r>
    </w:p>
    <w:p>
      <w:pPr>
        <w:spacing w:after="0" w:line="71" w:lineRule="exact"/>
        <w:rPr>
          <w:sz w:val="20"/>
          <w:szCs w:val="20"/>
          <w:color w:val="auto"/>
        </w:rPr>
      </w:pPr>
    </w:p>
    <w:p>
      <w:pPr>
        <w:ind w:left="680" w:right="520" w:firstLine="399"/>
        <w:spacing w:after="0" w:line="320" w:lineRule="auto"/>
        <w:rPr>
          <w:sz w:val="20"/>
          <w:szCs w:val="20"/>
          <w:color w:val="auto"/>
        </w:rPr>
      </w:pPr>
      <w:r>
        <w:rPr>
          <w:rFonts w:ascii="Arial" w:cs="Arial" w:eastAsia="Arial" w:hAnsi="Arial"/>
          <w:sz w:val="12"/>
          <w:szCs w:val="12"/>
          <w:color w:val="auto"/>
        </w:rPr>
        <w:t>The fair value of the in-process research and development was determined by estimating the costs to develop the acquired technology into commercially viable products and estimating the net present value of the resulting net cash flows from these projects. These cash flows were based on our best estimates of revenue, cost of sales, research</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and development costs, selling, general and administrative costs and income taxes from the development projects. A summary of the estimates used to calculate the net cash flows for the projects is as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Year Net</w:t>
            </w:r>
          </w:p>
        </w:tc>
        <w:tc>
          <w:tcPr>
            <w:tcW w:w="16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2"/>
              </w:rPr>
              <w:t>Discount Rate</w:t>
            </w:r>
          </w:p>
        </w:tc>
        <w:tc>
          <w:tcPr>
            <w:tcW w:w="180" w:type="dxa"/>
            <w:vAlign w:val="bottom"/>
          </w:tcPr>
          <w:p>
            <w:pPr>
              <w:spacing w:after="0"/>
              <w:rPr>
                <w:sz w:val="10"/>
                <w:szCs w:val="10"/>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9"/>
              </w:rPr>
              <w:t>Acquired in-</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Cash In-</w:t>
            </w:r>
          </w:p>
        </w:tc>
        <w:tc>
          <w:tcPr>
            <w:tcW w:w="16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Including Factor</w:t>
            </w: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Flows</w:t>
            </w:r>
          </w:p>
        </w:tc>
        <w:tc>
          <w:tcPr>
            <w:tcW w:w="16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6"/>
              </w:rPr>
              <w:t>to Account for</w:t>
            </w:r>
          </w:p>
        </w:tc>
        <w:tc>
          <w:tcPr>
            <w:tcW w:w="180" w:type="dxa"/>
            <w:vAlign w:val="bottom"/>
          </w:tcPr>
          <w:p>
            <w:pPr>
              <w:spacing w:after="0"/>
              <w:rPr>
                <w:sz w:val="9"/>
                <w:szCs w:val="9"/>
                <w:color w:val="auto"/>
              </w:rPr>
            </w:pPr>
          </w:p>
        </w:tc>
        <w:tc>
          <w:tcPr>
            <w:tcW w:w="11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87"/>
              </w:rPr>
              <w:t>Process</w:t>
            </w:r>
          </w:p>
        </w:tc>
        <w:tc>
          <w:tcPr>
            <w:tcW w:w="0" w:type="dxa"/>
            <w:vAlign w:val="bottom"/>
          </w:tcPr>
          <w:p>
            <w:pPr>
              <w:spacing w:after="0"/>
              <w:rPr>
                <w:sz w:val="1"/>
                <w:szCs w:val="1"/>
                <w:color w:val="auto"/>
              </w:rPr>
            </w:pPr>
          </w:p>
        </w:tc>
      </w:tr>
      <w:tr>
        <w:trPr>
          <w:trHeight w:val="108"/>
        </w:trPr>
        <w:tc>
          <w:tcPr>
            <w:tcW w:w="5700" w:type="dxa"/>
            <w:vAlign w:val="bottom"/>
            <w:vMerge w:val="restart"/>
          </w:tcPr>
          <w:p>
            <w:pPr>
              <w:spacing w:after="0"/>
              <w:rPr>
                <w:sz w:val="20"/>
                <w:szCs w:val="20"/>
                <w:color w:val="auto"/>
              </w:rPr>
            </w:pPr>
            <w:r>
              <w:rPr>
                <w:rFonts w:ascii="Arial" w:cs="Arial" w:eastAsia="Arial" w:hAnsi="Arial"/>
                <w:sz w:val="10"/>
                <w:szCs w:val="10"/>
                <w:b w:val="1"/>
                <w:bCs w:val="1"/>
                <w:color w:val="auto"/>
              </w:rPr>
              <w:t>Project</w:t>
            </w:r>
          </w:p>
        </w:tc>
        <w:tc>
          <w:tcPr>
            <w:tcW w:w="2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Expected to</w:t>
            </w:r>
          </w:p>
        </w:tc>
        <w:tc>
          <w:tcPr>
            <w:tcW w:w="16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8"/>
              </w:rPr>
              <w:t>Uncertainty of</w:t>
            </w:r>
          </w:p>
        </w:tc>
        <w:tc>
          <w:tcPr>
            <w:tcW w:w="180" w:type="dxa"/>
            <w:vAlign w:val="bottom"/>
          </w:tcPr>
          <w:p>
            <w:pPr>
              <w:spacing w:after="0"/>
              <w:rPr>
                <w:sz w:val="9"/>
                <w:szCs w:val="9"/>
                <w:color w:val="auto"/>
              </w:rPr>
            </w:pPr>
          </w:p>
        </w:tc>
        <w:tc>
          <w:tcPr>
            <w:tcW w:w="11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4"/>
              </w:rPr>
              <w:t>Research and</w:t>
            </w:r>
          </w:p>
        </w:tc>
        <w:tc>
          <w:tcPr>
            <w:tcW w:w="0" w:type="dxa"/>
            <w:vAlign w:val="bottom"/>
          </w:tcPr>
          <w:p>
            <w:pPr>
              <w:spacing w:after="0"/>
              <w:rPr>
                <w:sz w:val="1"/>
                <w:szCs w:val="1"/>
                <w:color w:val="auto"/>
              </w:rPr>
            </w:pPr>
          </w:p>
        </w:tc>
      </w:tr>
      <w:tr>
        <w:trPr>
          <w:trHeight w:val="125"/>
        </w:trPr>
        <w:tc>
          <w:tcPr>
            <w:tcW w:w="5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Begin</w:t>
            </w:r>
          </w:p>
        </w:tc>
        <w:tc>
          <w:tcPr>
            <w:tcW w:w="16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3"/>
              </w:rPr>
              <w:t>Success</w:t>
            </w:r>
          </w:p>
        </w:tc>
        <w:tc>
          <w:tcPr>
            <w:tcW w:w="180" w:type="dxa"/>
            <w:vAlign w:val="bottom"/>
          </w:tcPr>
          <w:p>
            <w:pPr>
              <w:spacing w:after="0"/>
              <w:rPr>
                <w:sz w:val="10"/>
                <w:szCs w:val="1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2"/>
              </w:rPr>
              <w:t>Development</w:t>
            </w:r>
          </w:p>
        </w:tc>
        <w:tc>
          <w:tcPr>
            <w:tcW w:w="0" w:type="dxa"/>
            <w:vAlign w:val="bottom"/>
          </w:tcPr>
          <w:p>
            <w:pPr>
              <w:spacing w:after="0"/>
              <w:rPr>
                <w:sz w:val="1"/>
                <w:szCs w:val="1"/>
                <w:color w:val="auto"/>
              </w:rPr>
            </w:pPr>
          </w:p>
        </w:tc>
      </w:tr>
      <w:tr>
        <w:trPr>
          <w:trHeight w:val="29"/>
        </w:trPr>
        <w:tc>
          <w:tcPr>
            <w:tcW w:w="5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eDisc artificial lumbar disc</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2013</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 million</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eDisc artificial cervical disc</w:t>
            </w:r>
          </w:p>
        </w:tc>
        <w:tc>
          <w:tcPr>
            <w:tcW w:w="1400" w:type="dxa"/>
            <w:vAlign w:val="bottom"/>
            <w:gridSpan w:val="3"/>
          </w:tcPr>
          <w:p>
            <w:pPr>
              <w:jc w:val="right"/>
              <w:ind w:right="400"/>
              <w:spacing w:after="0"/>
              <w:rPr>
                <w:sz w:val="20"/>
                <w:szCs w:val="20"/>
                <w:color w:val="auto"/>
              </w:rPr>
            </w:pPr>
            <w:r>
              <w:rPr>
                <w:rFonts w:ascii="Arial" w:cs="Arial" w:eastAsia="Arial" w:hAnsi="Arial"/>
                <w:sz w:val="13"/>
                <w:szCs w:val="13"/>
                <w:color w:val="auto"/>
              </w:rPr>
              <w:t>2016</w:t>
            </w:r>
          </w:p>
        </w:tc>
        <w:tc>
          <w:tcPr>
            <w:tcW w:w="1600" w:type="dxa"/>
            <w:vAlign w:val="bottom"/>
            <w:gridSpan w:val="2"/>
          </w:tcPr>
          <w:p>
            <w:pPr>
              <w:jc w:val="right"/>
              <w:ind w:right="300"/>
              <w:spacing w:after="0"/>
              <w:rPr>
                <w:sz w:val="20"/>
                <w:szCs w:val="20"/>
                <w:color w:val="auto"/>
              </w:rPr>
            </w:pPr>
            <w:r>
              <w:rPr>
                <w:rFonts w:ascii="Arial" w:cs="Arial" w:eastAsia="Arial" w:hAnsi="Arial"/>
                <w:sz w:val="13"/>
                <w:szCs w:val="13"/>
                <w:color w:val="auto"/>
              </w:rPr>
              <w:t>23%</w:t>
            </w: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7.2 million</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Spinal fixation implants</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2009</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 million</w:t>
            </w:r>
          </w:p>
        </w:tc>
        <w:tc>
          <w:tcPr>
            <w:tcW w:w="0" w:type="dxa"/>
            <w:vAlign w:val="bottom"/>
          </w:tcPr>
          <w:p>
            <w:pPr>
              <w:spacing w:after="0"/>
              <w:rPr>
                <w:sz w:val="1"/>
                <w:szCs w:val="1"/>
                <w:color w:val="auto"/>
              </w:rPr>
            </w:pPr>
          </w:p>
        </w:tc>
      </w:tr>
      <w:tr>
        <w:trPr>
          <w:trHeight w:val="165"/>
        </w:trPr>
        <w:tc>
          <w:tcPr>
            <w:tcW w:w="5700" w:type="dxa"/>
            <w:vAlign w:val="bottom"/>
          </w:tcPr>
          <w:p>
            <w:pPr>
              <w:spacing w:after="0"/>
              <w:rPr>
                <w:sz w:val="20"/>
                <w:szCs w:val="20"/>
                <w:color w:val="auto"/>
              </w:rPr>
            </w:pPr>
            <w:r>
              <w:rPr>
                <w:rFonts w:ascii="Arial" w:cs="Arial" w:eastAsia="Arial" w:hAnsi="Arial"/>
                <w:sz w:val="13"/>
                <w:szCs w:val="13"/>
                <w:color w:val="auto"/>
              </w:rPr>
              <w:t>All other</w:t>
            </w:r>
          </w:p>
        </w:tc>
        <w:tc>
          <w:tcPr>
            <w:tcW w:w="1400" w:type="dxa"/>
            <w:vAlign w:val="bottom"/>
            <w:gridSpan w:val="3"/>
          </w:tcPr>
          <w:p>
            <w:pPr>
              <w:jc w:val="right"/>
              <w:ind w:right="400"/>
              <w:spacing w:after="0"/>
              <w:rPr>
                <w:sz w:val="20"/>
                <w:szCs w:val="20"/>
                <w:color w:val="auto"/>
              </w:rPr>
            </w:pPr>
            <w:r>
              <w:rPr>
                <w:rFonts w:ascii="Arial" w:cs="Arial" w:eastAsia="Arial" w:hAnsi="Arial"/>
                <w:sz w:val="13"/>
                <w:szCs w:val="13"/>
                <w:color w:val="auto"/>
              </w:rPr>
              <w:t>2009</w:t>
            </w:r>
          </w:p>
        </w:tc>
        <w:tc>
          <w:tcPr>
            <w:tcW w:w="1600" w:type="dxa"/>
            <w:vAlign w:val="bottom"/>
            <w:gridSpan w:val="2"/>
          </w:tcPr>
          <w:p>
            <w:pPr>
              <w:jc w:val="right"/>
              <w:ind w:right="300"/>
              <w:spacing w:after="0"/>
              <w:rPr>
                <w:sz w:val="20"/>
                <w:szCs w:val="20"/>
                <w:color w:val="auto"/>
              </w:rPr>
            </w:pPr>
            <w:r>
              <w:rPr>
                <w:rFonts w:ascii="Arial" w:cs="Arial" w:eastAsia="Arial" w:hAnsi="Arial"/>
                <w:sz w:val="13"/>
                <w:szCs w:val="13"/>
                <w:color w:val="auto"/>
              </w:rPr>
              <w:t>15%</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0.3 million</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Currently, the Company has suspended the development of the eDisc products and is considering other opportunities for the technology. Of the 13 implant systems in development at the time of acquisition, 12 were successfully launched and one was discontinued. These changes in plans will not have a significant impact on the Company’s overall financial condition.</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Pro Forma Results</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Due to a lack of readily available audited financial statements and immateriality, the Company has not presented pro forma results for 2010 or 2009 to include the impact of the Culley or Welch operations.</w:t>
      </w:r>
    </w:p>
    <w:p>
      <w:pPr>
        <w:spacing w:after="0" w:line="134" w:lineRule="exact"/>
        <w:rPr>
          <w:sz w:val="20"/>
          <w:szCs w:val="20"/>
          <w:color w:val="auto"/>
        </w:rPr>
      </w:pPr>
    </w:p>
    <w:p>
      <w:pPr>
        <w:ind w:left="1000" w:hanging="313"/>
        <w:spacing w:after="0"/>
        <w:tabs>
          <w:tab w:leader="none" w:pos="100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2010 and 2012 Senior Convertible Notes</w:t>
      </w:r>
    </w:p>
    <w:p>
      <w:pPr>
        <w:spacing w:after="0" w:line="96"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On June 11, 2007, the Company issued $165.0 million aggregate principal amount under its 2010 Notes and $165.0 million aggregate principal amount under its 2012 Notes (collectively the “Notes”). The 2010 Notes and the 2012 Notes bear interest at a rate of 2.75% per annum and 2.375% per annum, respectively, in each case payable semi-annually in arrears on December 1 and June 1 of each year. The fair value of the 2012 Notes at December 31, 2010 was approximately $169.4 million. The 2010 Notes were paid off during June 2010 in accordance with their terms. In 2009, the Company repurchased the principal amount of $32.1 million, $18.7 million, $17.7 million, and $18.6 million in March, June, September and December, respectively, of the 2010 Notes. The total cash paid for the Notes was $83.3 million, of which $78.0 million related to the repurchase of the liability component. The Company recognized a gain of $0.5 million on these repurchases. For all of these transactions the bond hedge contracts were terminated on a pro-rata basis and the number of options was adjusted to reflect the number of convertible securities outstanding that together have a total principal amount of $77.9 million. Also, in connection with the above repurchases, in separate transactions, the Company has amended the warrant transactions to reduce the number of warrants outstanding to reflect such number of convertible securities outstanding.</w:t>
      </w:r>
    </w:p>
    <w:p>
      <w:pPr>
        <w:spacing w:after="0" w:line="59"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The 2012 Notes are senior, unsecured obligations of the Company, and are convertible into cash and, if applicable, shares of its common stock based on an initial conversion rate, subject to adjustment of 15.3935 shares per $1,000 principal amount of notes for the 2012 Notes (which represents an initial conversion price of approximately $64.96 per share). The Company will satisfy any conversion of the 2012 Notes with cash up to the principal amount of the 2012 Notes pursuant to the net share settlement mechanism set forth in the indenture and, with respect to any excess conversion value, with shares of the Company’s common stock. The 2012 Notes are convertible only in the following circumstances: (1) if the closing sale price of the Company’s common stock exceeds 130% of the conversion price during a period as defined in the indenture; (2) if the average trading price per $1,000 principal amount of the 2012 Notes is less than or equal to 97% of the average conversion value of the 2012 Notes during a period as defined in the indenture; (3) at any time on or after December 15, 2011; or (4) if specified corporate transactions occur. The issue price of the 2012 Notes was equal to their face amount, which is also the amount holders are entitled to receive at maturity if the 2012 Notes are not converted. As of December 31,</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2010, none of these conditions existed with respect to the 2012 Notes. As a result, the 2012 Notes are classified as long term.</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Holders of the 2012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2012 Notes for cash at a repurchase price equal to 100% of the principal amount of the notes being repurchased, plus accrued and unpaid interest, if any.</w:t>
      </w:r>
    </w:p>
    <w:p>
      <w:pPr>
        <w:spacing w:after="0" w:line="50"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The 2012 Notes, under the terms of the private placement agreement, are guaranteed fully by Integra LifeSciences Corporation, a subsidiary of the Company. The Notes will be the Company’s direct senior unsecured obligations and will rank equal in right of payment to all of the Company’s existing and future unsecured and unsubordinated indebtedness.</w:t>
      </w:r>
    </w:p>
    <w:p>
      <w:pPr>
        <w:spacing w:after="0" w:line="35"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53"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initial strike price of the remaining call transactions is approximately $64.96 for the 2012 Notes, subject to anti-dilution adjustments. The initial strike price of the warrant transactions is (i) for the 2010 Notes, approximately $77.96 per share of Common Stock, which expired at various dates through January 2011, and (ii) for the 2012 Notes, approximately $90.95, in each case subject to customary anti-dilution adjustments.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Amended and Restated Senior Credit Agreement</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On August 10, 2010, the Company entered into an amended and restated credit agreement (the “Senior Credit Facility”) with a syndicate of lending banks. The Senior Credit Facility increased the size of the Company’s prior revolving credit facility from $300.0 million to $450.0 million, provided for a $150.0 million term loan component and allowed the Company to further increase the size of either the term loan or the revolving credit facility, or a combination thereof, by an aggregate of $150.0 million with additional commitments. The Senior Credit Facility extended the prior revolving credit facility’s maturity date from December 21, 2011 to August 10, 2015 and increased the applicable rates used for borrowings and the annual commitment fee. The Senior Credit Facility is collateralized by substantially all of the assets of the Company’s U.S. subsidiaries, excluding intangible assets.</w:t>
      </w:r>
    </w:p>
    <w:p>
      <w:pPr>
        <w:spacing w:after="0" w:line="55"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Amounts borrowed under the Senior Credit Facility bear interest, at the Company’s option, at a rate equal to (i) the Eurodollar Rate (as defined in the Senior Credit Facility) in effect from time to time plus the applicable rate (ranging from 1.75% to 2.5%) or (ii) the highest of (x) the weighted average overnight Federal funds rate, as published by the Federal Reserve Bank of New York, plus 0.5%, (y) the prime lending rate of Bank of America, N.A. or (z) the one-month Eurodollar Rate plus 1.0%. The applicable fixed rates are based on the Company’s consolidated total leverage ratio (defined as the ratio of (a) consolidated funded indebtedness less cash in excess of $40.0 million that is not subject to any restriction on the use or investment thereof to (b) consolidated earnings before interest, taxes, depreciation and amortization) at the time of the applicable borrowing.</w:t>
      </w:r>
    </w:p>
    <w:p>
      <w:pPr>
        <w:spacing w:after="0" w:line="55"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The Company also pays an annual commitment fee (ranging from 0.2% to 0.5%, based on the Company’s consolidated total leverage ratio) on the daily amount by which the revolving credit facility exceeds the outstanding loans and letters of credit under the credit facility.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Senior Credit Facility also modified certain financial and negative covenants. In particular, it:</w:t>
      </w:r>
    </w:p>
    <w:p>
      <w:pPr>
        <w:spacing w:after="0" w:line="96" w:lineRule="exact"/>
        <w:rPr>
          <w:sz w:val="20"/>
          <w:szCs w:val="20"/>
          <w:color w:val="auto"/>
        </w:rPr>
      </w:pPr>
    </w:p>
    <w:p>
      <w:pPr>
        <w:ind w:left="1280" w:right="36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reduced the maximum consolidated total leverage ratio that the Company is permitted to have from 4.50 to 1.00, to either (i) 3.75 to 1.00 during any consecutive four fiscal quarter period ending on or before March 31, 2012 or (ii) 3.5 to 1.00 during any period thereafter,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eliminated the senior secured leverage ratio covenant,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increased the amount of permitted unsecured debt,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provided the Company more ability to repurchase stock and make restricted payments,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provided for capital expenditures in any fiscal year equal to 10% of the revenues during the prior fiscal year, subject to carry over to the next following fiscal year.</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On August 10, 2010, the Company also entered into an interest rate swap effective December 31, 2010 with an investment grade bank which converts a portion of the Company’s variable interest payments to fixed interest payments (see Note 5, “Derivative Instruments”).</w:t>
      </w:r>
    </w:p>
    <w:p>
      <w:pPr>
        <w:spacing w:after="0" w:line="59"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Prior to amending the Senior Credit Facility in 2010, the Company borrowed $75.0 million under the revolving credit facility in connection with the maturity of its 2010 Notes (defined below) and also repaid $15.0 million of outstanding borrowings. Subsequent to the amendment, the Company borrowed an additional $30.0 million in October 2010 to repay certain intercompany loans. During June 2009 and August 2009, the Company repaid $60.0 million and $40.0 million, respectively, of its outstanding borrowings under its prior credit facility.</w:t>
      </w:r>
    </w:p>
    <w:p>
      <w:pPr>
        <w:spacing w:after="0" w:line="5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At December 31, 2010 and 2009, there was $100.0 million and $160.0 million outstanding, respectively, under the revolving credit facility at a weighted average interest rate of 2.5% and 0.98%, respectively. At December 31, 2010, there was approximately $350.0 million available for borrowing under this facility. The fair value of outstanding borrowings under the revolving credit facility at December 31, 2010 was approximately $100.5 million. The Company considers the 2010 balance to be current in nature based on its current intent and ability to repay the borrowing during the next twelve-month period.</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At December 31, 2010, there was $148.1 million outstanding under the term loan at an interest rate of 2.6% — of this amount, the Company considers $8.4 million as short-term and $139.7 million as long-term based on the terms of the loan agreement. Under the term loan, principal payments to be made during the calendar years are as follows: $8.4 million in 2011, $12.2 million in 2012, $15.0 million in 2013, $15.0 million in 2014 and $97.5 million in 2015. The fair value of outstanding borrowings on the term loan at December 31, 2010 was approximately $143.4 million.</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2008 Contingent Convertible Subordinated Notes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 was required to make interest payments on its 2008 Notes at an annual rate of 2.5% each September 15 and March 15. The Company paid contingent interest on the 2008 Notes approximating $1.8 million during the quarter ended March 31, 2008. The contingent interest paid was for each of the last three years the 2008 Notes remained outstanding in an amount equal to the greater of (1) 0.50% of the face amount of the 2008 Notes and (2) the amount of regular cash dividends paid during each such year on the number of shares of common stock into which each 2008 Note was convertible. Holders of the 2008 Notes could convert the 2008 Notes under certain circumstances, including when the market price of its common stock on the previous trading day was more than $37.56 per share, based on an initial conversion price of $34.15 per share. As of December 31, 2008, all of the 2008 Notes had been converted to common stock or cash.</w:t>
      </w:r>
    </w:p>
    <w:p>
      <w:pPr>
        <w:spacing w:after="0" w:line="72"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The 2008 Notes were general, unsecured obligations of the Company and were subordinate to any senior indebtedness. The Company could not redeem the 2008 Notes prior to their maturity, and the 2008 Notes’ holders could have compelled the Company to repurchase the 2008 Notes upon a change of control. On March 5, 2008 the Company borrowed $120.0 million under its senior secured revolving credit facility. The Company used these funds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to repay the 2008 Notes upon conversion or maturity. As a result of the conversions, the Company issued 768,221 shares of the Company’s common stock. There were no financial covenants associated with the convertible 2008 Notes.</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In conjunction with the 2008 Notes, the Company had previously recognized a deferred tax liability related to the conversion feature of the debt. As a result of the repayment of the 2008 Notes, the Company reversed the remaining balance of the deferred tax liability which resulted in the recognition of a $2.4 million valuation allowance on a deferred tax asset, a $4.8 million increase to current income taxes payable and $11.5 million of additional paid-in capital for the year ended December 31, 2008.</w:t>
      </w:r>
    </w:p>
    <w:p>
      <w:pPr>
        <w:spacing w:after="0" w:line="50"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On September 27, 2006, the Company exchanged $115.2 million (out of a total of a $120.0 million) of its 2.5% Contingent Convertible Subordinated Notes due 2008 (the “old notes”) for the equivalent amount of 2.5% Contingent Convertible Subordinated Notes due 2008 (the “new notes”). The terms of the new notes were substantially similar to those of the old notes, except that the new notes had a net share settlement feature and included “takeover protection,” whereby the Company would pay a premium to holders who convert their notes upon the occurrence of designated events, including a change in control. The net share settlement feature required that, upon conversion of the new notes, the Company pay holders in cash for up to the principal amount of the converted new notes with any amounts in excess of this cash amount settled, at the election of the Company, in cash or shares of its common stock. Holders who exchanged their old notes in the exchange offer received an exchange fee of $2.50 per $1,000 principal amount of their old notes. We paid approximately $0.3 million of exchange fees to tendering holders of the existing notes plus expenses totaling approximately $0.3 million in connection with the offer. The Company recorded a $1.2 million write-off of the unamortized debt issuance costs and $0.3 million of fees associated with the exchange of the old notes.</w:t>
      </w:r>
    </w:p>
    <w:p>
      <w:pPr>
        <w:spacing w:after="0" w:line="59"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On October 20, 2006 an additional $4.3 million of old notes were tendered, bringing the total amount of exchanges to $119.5 million, or 99.6% of the original $120.0 million principal amount.</w:t>
      </w:r>
    </w:p>
    <w:p>
      <w:pPr>
        <w:spacing w:after="0" w:line="59" w:lineRule="exact"/>
        <w:rPr>
          <w:sz w:val="20"/>
          <w:szCs w:val="20"/>
          <w:color w:val="auto"/>
        </w:rPr>
      </w:pPr>
    </w:p>
    <w:p>
      <w:pPr>
        <w:jc w:val="both"/>
        <w:ind w:left="680" w:right="180" w:firstLine="399"/>
        <w:spacing w:after="0" w:line="260" w:lineRule="auto"/>
        <w:rPr>
          <w:sz w:val="20"/>
          <w:szCs w:val="20"/>
          <w:color w:val="auto"/>
        </w:rPr>
      </w:pPr>
      <w:r>
        <w:rPr>
          <w:rFonts w:ascii="Arial" w:cs="Arial" w:eastAsia="Arial" w:hAnsi="Arial"/>
          <w:sz w:val="13"/>
          <w:szCs w:val="13"/>
          <w:color w:val="auto"/>
        </w:rPr>
        <w:t>Holders were able to convert their notes at an initial conversion price of $34.15 per share, upon the occurrence of certain conditions, including when the market price of Integra’s common stock on the previous trading day was more than 110% of the conversion price. The notes are general, unsecured obligations of the Company and were subordinate to any future senior indebtedness of the Company. The Company was not able to redeem the notes prior to their maturity. Holders of the notes were able to require the Company to repurchase the notes upon a change in control.</w:t>
      </w:r>
    </w:p>
    <w:p>
      <w:pPr>
        <w:spacing w:after="0" w:line="144" w:lineRule="exact"/>
        <w:rPr>
          <w:sz w:val="20"/>
          <w:szCs w:val="20"/>
          <w:color w:val="auto"/>
        </w:rPr>
      </w:pPr>
    </w:p>
    <w:p>
      <w:pPr>
        <w:ind w:left="1000" w:hanging="313"/>
        <w:spacing w:after="0"/>
        <w:tabs>
          <w:tab w:leader="none" w:pos="100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Foreign Currency Hedging</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Company’s designated foreign currency hedge contract outstanding as of December 31, 2009 was a cash flow hedge under the authoritative guidance intended to protect the U.S. dollar value of certain forecasted foreign currency denominated intercompany transactions. There were no foreign currency hedge contracts outstanding as of December 31, 2010. The Company records the effective portion of any change in the fair value of foreign currency cash flow hedges in accumulated other comprehensive income (“AOCI”), net of tax, until the hedged item impacts earnings. Once the related hedged item effects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72"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impact its earnings and cash flows.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Interest Rate Hedging</w:t>
      </w:r>
    </w:p>
    <w:p>
      <w:pPr>
        <w:spacing w:after="0" w:line="9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Company designates this derivative instrument as a cash flow hedge. The Company records the effective portion of any change in the fair value of a derivative instrument designated as a cash flow hedge as unrealized gains or losses in AOCI, net of tax, until the hedged item affects earning,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7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Company expects that approximately $2.1 million of pre-tax losses recorded net in AOCI could be reclassified to earnings within the next twelve months related to the interest rate hedge.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Counterparty Credit Risk</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contains provisions that are dependent on the Company’s credit ratings from any credit rating agency.</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Fair Value of Derivative Instruments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summarizes the fair value, notional amounts presented in U.S. dollars, and presentation in the consolidated balance sheet for derivatives designated as hedging instruments as of December 31, 2010 and December 31, 2009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tcPr>
          <w:p>
            <w:pPr>
              <w:jc w:val="right"/>
              <w:spacing w:after="0"/>
              <w:rPr>
                <w:sz w:val="20"/>
                <w:szCs w:val="20"/>
                <w:color w:val="auto"/>
              </w:rPr>
            </w:pPr>
            <w:r>
              <w:rPr>
                <w:rFonts w:ascii="Arial" w:cs="Arial" w:eastAsia="Arial" w:hAnsi="Arial"/>
                <w:sz w:val="10"/>
                <w:szCs w:val="10"/>
                <w:b w:val="1"/>
                <w:bCs w:val="1"/>
                <w:color w:val="auto"/>
              </w:rPr>
              <w:t>Fair Value as of</w:t>
            </w: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80" w:type="dxa"/>
            <w:vAlign w:val="bottom"/>
            <w:gridSpan w:val="6"/>
          </w:tcPr>
          <w:p>
            <w:pPr>
              <w:jc w:val="right"/>
              <w:ind w:right="780"/>
              <w:spacing w:after="0"/>
              <w:rPr>
                <w:sz w:val="20"/>
                <w:szCs w:val="20"/>
                <w:color w:val="auto"/>
              </w:rPr>
            </w:pPr>
            <w:r>
              <w:rPr>
                <w:rFonts w:ascii="Arial" w:cs="Arial" w:eastAsia="Arial" w:hAnsi="Arial"/>
                <w:sz w:val="10"/>
                <w:szCs w:val="10"/>
                <w:b w:val="1"/>
                <w:bCs w:val="1"/>
                <w:color w:val="auto"/>
              </w:rPr>
              <w:t>Notional Amount as of</w:t>
            </w:r>
          </w:p>
        </w:tc>
        <w:tc>
          <w:tcPr>
            <w:tcW w:w="0" w:type="dxa"/>
            <w:vAlign w:val="bottom"/>
          </w:tcPr>
          <w:p>
            <w:pPr>
              <w:spacing w:after="0"/>
              <w:rPr>
                <w:sz w:val="1"/>
                <w:szCs w:val="1"/>
                <w:color w:val="auto"/>
              </w:rPr>
            </w:pPr>
          </w:p>
        </w:tc>
      </w:tr>
      <w:tr>
        <w:trPr>
          <w:trHeight w:val="81"/>
        </w:trPr>
        <w:tc>
          <w:tcPr>
            <w:tcW w:w="47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Location on Balance Sheet (1):</w:t>
            </w:r>
          </w:p>
        </w:tc>
        <w:tc>
          <w:tcPr>
            <w:tcW w:w="14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ind w:left="60"/>
              <w:spacing w:after="0" w:line="81" w:lineRule="exact"/>
              <w:rPr>
                <w:sz w:val="20"/>
                <w:szCs w:val="20"/>
                <w:color w:val="auto"/>
              </w:rPr>
            </w:pPr>
            <w:r>
              <w:rPr>
                <w:rFonts w:ascii="Arial" w:cs="Arial" w:eastAsia="Arial" w:hAnsi="Arial"/>
                <w:sz w:val="9"/>
                <w:szCs w:val="9"/>
                <w:b w:val="1"/>
                <w:bCs w:val="1"/>
                <w:color w:val="auto"/>
              </w:rPr>
              <w:t>December 31,</w:t>
            </w:r>
          </w:p>
        </w:tc>
        <w:tc>
          <w:tcPr>
            <w:tcW w:w="1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jc w:val="right"/>
              <w:ind w:right="141"/>
              <w:spacing w:after="0" w:line="81" w:lineRule="exact"/>
              <w:rPr>
                <w:sz w:val="20"/>
                <w:szCs w:val="20"/>
                <w:color w:val="auto"/>
              </w:rPr>
            </w:pPr>
            <w:r>
              <w:rPr>
                <w:rFonts w:ascii="Arial" w:cs="Arial" w:eastAsia="Arial" w:hAnsi="Arial"/>
                <w:sz w:val="9"/>
                <w:szCs w:val="9"/>
                <w:b w:val="1"/>
                <w:bCs w:val="1"/>
                <w:color w:val="auto"/>
              </w:rPr>
              <w:t>December 31,</w:t>
            </w:r>
          </w:p>
        </w:tc>
        <w:tc>
          <w:tcPr>
            <w:tcW w:w="380" w:type="dxa"/>
            <w:vAlign w:val="bottom"/>
          </w:tcPr>
          <w:p>
            <w:pPr>
              <w:spacing w:after="0"/>
              <w:rPr>
                <w:sz w:val="7"/>
                <w:szCs w:val="7"/>
                <w:color w:val="auto"/>
              </w:rPr>
            </w:pPr>
          </w:p>
        </w:tc>
        <w:tc>
          <w:tcPr>
            <w:tcW w:w="840" w:type="dxa"/>
            <w:vAlign w:val="bottom"/>
            <w:tcBorders>
              <w:top w:val="single" w:sz="8" w:color="auto"/>
            </w:tcBorders>
          </w:tcPr>
          <w:p>
            <w:pPr>
              <w:jc w:val="center"/>
              <w:ind w:left="106"/>
              <w:spacing w:after="0" w:line="81" w:lineRule="exact"/>
              <w:rPr>
                <w:sz w:val="20"/>
                <w:szCs w:val="20"/>
                <w:color w:val="auto"/>
              </w:rPr>
            </w:pPr>
            <w:r>
              <w:rPr>
                <w:rFonts w:ascii="Arial" w:cs="Arial" w:eastAsia="Arial" w:hAnsi="Arial"/>
                <w:sz w:val="9"/>
                <w:szCs w:val="9"/>
                <w:b w:val="1"/>
                <w:bCs w:val="1"/>
                <w:color w:val="auto"/>
              </w:rPr>
              <w:t>December 31,</w:t>
            </w:r>
          </w:p>
        </w:tc>
        <w:tc>
          <w:tcPr>
            <w:tcW w:w="1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ind w:right="65"/>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7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342"/>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341"/>
              <w:spacing w:after="0"/>
              <w:rPr>
                <w:sz w:val="20"/>
                <w:szCs w:val="20"/>
                <w:color w:val="auto"/>
              </w:rPr>
            </w:pPr>
            <w:r>
              <w:rPr>
                <w:rFonts w:ascii="Arial" w:cs="Arial" w:eastAsia="Arial" w:hAnsi="Arial"/>
                <w:sz w:val="10"/>
                <w:szCs w:val="10"/>
                <w:b w:val="1"/>
                <w:bCs w:val="1"/>
                <w:color w:val="auto"/>
              </w:rPr>
              <w:t>2009</w:t>
            </w:r>
          </w:p>
        </w:tc>
        <w:tc>
          <w:tcPr>
            <w:tcW w:w="380" w:type="dxa"/>
            <w:vAlign w:val="bottom"/>
          </w:tcPr>
          <w:p>
            <w:pPr>
              <w:spacing w:after="0"/>
              <w:rPr>
                <w:sz w:val="10"/>
                <w:szCs w:val="10"/>
                <w:color w:val="auto"/>
              </w:rPr>
            </w:pPr>
          </w:p>
        </w:tc>
        <w:tc>
          <w:tcPr>
            <w:tcW w:w="840" w:type="dxa"/>
            <w:vAlign w:val="bottom"/>
          </w:tcPr>
          <w:p>
            <w:pPr>
              <w:jc w:val="right"/>
              <w:ind w:right="186"/>
              <w:spacing w:after="0"/>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32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Derivative Liabilities: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3"/>
          </w:tcPr>
          <w:p>
            <w:pPr>
              <w:spacing w:after="0"/>
              <w:rPr>
                <w:sz w:val="20"/>
                <w:szCs w:val="20"/>
                <w:color w:val="auto"/>
              </w:rPr>
            </w:pPr>
            <w:r>
              <w:rPr>
                <w:rFonts w:ascii="Arial" w:cs="Arial" w:eastAsia="Arial" w:hAnsi="Arial"/>
                <w:sz w:val="13"/>
                <w:szCs w:val="13"/>
                <w:color w:val="auto"/>
              </w:rPr>
              <w:t>Interest rate swap — Accrued expenses and other current liabilities(2)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270</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Currency hedge contracts — Accrued expenses and other current liabilities</w:t>
            </w: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6"/>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11,696</w:t>
            </w:r>
          </w:p>
        </w:tc>
        <w:tc>
          <w:tcPr>
            <w:tcW w:w="0" w:type="dxa"/>
            <w:vAlign w:val="bottom"/>
          </w:tcPr>
          <w:p>
            <w:pPr>
              <w:spacing w:after="0"/>
              <w:rPr>
                <w:sz w:val="1"/>
                <w:szCs w:val="1"/>
                <w:color w:val="auto"/>
              </w:rPr>
            </w:pPr>
          </w:p>
        </w:tc>
      </w:tr>
      <w:tr>
        <w:trPr>
          <w:trHeight w:val="166"/>
        </w:trPr>
        <w:tc>
          <w:tcPr>
            <w:tcW w:w="4700" w:type="dxa"/>
            <w:vAlign w:val="bottom"/>
            <w:gridSpan w:val="3"/>
          </w:tcPr>
          <w:p>
            <w:pPr>
              <w:spacing w:after="0"/>
              <w:rPr>
                <w:sz w:val="20"/>
                <w:szCs w:val="20"/>
                <w:color w:val="auto"/>
              </w:rPr>
            </w:pPr>
            <w:r>
              <w:rPr>
                <w:rFonts w:ascii="Arial" w:cs="Arial" w:eastAsia="Arial" w:hAnsi="Arial"/>
                <w:sz w:val="13"/>
                <w:szCs w:val="13"/>
                <w:b w:val="1"/>
                <w:bCs w:val="1"/>
                <w:color w:val="auto"/>
              </w:rPr>
              <w:t>Total Derivative Liabilities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270</w:t>
            </w:r>
          </w:p>
        </w:tc>
        <w:tc>
          <w:tcPr>
            <w:tcW w:w="4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3"/>
                <w:szCs w:val="13"/>
                <w:color w:val="auto"/>
              </w:rPr>
              <w:t>418</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Company classifies derivative assets and liabilities as current based on the cash flows expected to be incurred within the following 12 months.</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total notional amount related to the interest rate swap is $148.1 million. In the next twelve months this amount will be reduced by $8.4 million.</w:t>
      </w:r>
    </w:p>
    <w:p>
      <w:pPr>
        <w:spacing w:after="0" w:line="29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presents the effect of derivative instruments designated as cash flow hedges on the accompanying consolidated statements of operations during the years ended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2010 and 2009 (in thousands):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w w:val="95"/>
              </w:rPr>
              <w:t>Amount of Gain</w:t>
            </w:r>
          </w:p>
        </w:tc>
        <w:tc>
          <w:tcPr>
            <w:tcW w:w="140" w:type="dxa"/>
            <w:vAlign w:val="bottom"/>
          </w:tcPr>
          <w:p>
            <w:pPr>
              <w:spacing w:after="0"/>
              <w:rPr>
                <w:sz w:val="10"/>
                <w:szCs w:val="1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Amount of Gain</w:t>
            </w: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2"/>
              </w:rPr>
              <w:t>(Loss) Reclassified</w:t>
            </w:r>
          </w:p>
        </w:tc>
        <w:tc>
          <w:tcPr>
            <w:tcW w:w="21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Location in</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2"/>
              </w:rPr>
              <w:t>(Loss) Recognized</w:t>
            </w:r>
          </w:p>
        </w:tc>
        <w:tc>
          <w:tcPr>
            <w:tcW w:w="140" w:type="dxa"/>
            <w:vAlign w:val="bottom"/>
          </w:tcPr>
          <w:p>
            <w:pPr>
              <w:spacing w:after="0"/>
              <w:rPr>
                <w:sz w:val="9"/>
                <w:szCs w:val="9"/>
                <w:color w:val="auto"/>
              </w:rPr>
            </w:pPr>
          </w:p>
        </w:tc>
        <w:tc>
          <w:tcPr>
            <w:tcW w:w="15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rPr>
              <w:t>from AOCI Into</w:t>
            </w: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rPr>
              <w:t>in AOCI</w:t>
            </w:r>
          </w:p>
        </w:tc>
        <w:tc>
          <w:tcPr>
            <w:tcW w:w="140" w:type="dxa"/>
            <w:vAlign w:val="bottom"/>
          </w:tcPr>
          <w:p>
            <w:pPr>
              <w:spacing w:after="0"/>
              <w:rPr>
                <w:sz w:val="9"/>
                <w:szCs w:val="9"/>
                <w:color w:val="auto"/>
              </w:rPr>
            </w:pPr>
          </w:p>
        </w:tc>
        <w:tc>
          <w:tcPr>
            <w:tcW w:w="15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3"/>
              </w:rPr>
              <w:t>Earnings</w:t>
            </w:r>
          </w:p>
        </w:tc>
        <w:tc>
          <w:tcPr>
            <w:tcW w:w="2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Statements of</w:t>
            </w: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(Effective Portion)</w:t>
            </w:r>
          </w:p>
        </w:tc>
        <w:tc>
          <w:tcPr>
            <w:tcW w:w="140" w:type="dxa"/>
            <w:vAlign w:val="bottom"/>
          </w:tcPr>
          <w:p>
            <w:pPr>
              <w:spacing w:after="0"/>
              <w:rPr>
                <w:sz w:val="10"/>
                <w:szCs w:val="1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(Effective Portion)</w:t>
            </w:r>
          </w:p>
        </w:tc>
        <w:tc>
          <w:tcPr>
            <w:tcW w:w="2180" w:type="dxa"/>
            <w:vAlign w:val="bottom"/>
          </w:tcPr>
          <w:p>
            <w:pPr>
              <w:jc w:val="center"/>
              <w:spacing w:after="0"/>
              <w:rPr>
                <w:sz w:val="20"/>
                <w:szCs w:val="20"/>
                <w:color w:val="auto"/>
              </w:rPr>
            </w:pPr>
            <w:r>
              <w:rPr>
                <w:rFonts w:ascii="Arial" w:cs="Arial" w:eastAsia="Arial" w:hAnsi="Arial"/>
                <w:sz w:val="10"/>
                <w:szCs w:val="10"/>
                <w:b w:val="1"/>
                <w:bCs w:val="1"/>
                <w:color w:val="auto"/>
                <w:w w:val="94"/>
              </w:rPr>
              <w:t>Operations</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2010</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Currency hedge contracts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400"/>
              <w:spacing w:after="0"/>
              <w:rPr>
                <w:sz w:val="20"/>
                <w:szCs w:val="20"/>
                <w:color w:val="auto"/>
              </w:rPr>
            </w:pPr>
            <w:r>
              <w:rPr>
                <w:rFonts w:ascii="Arial" w:cs="Arial" w:eastAsia="Arial" w:hAnsi="Arial"/>
                <w:sz w:val="13"/>
                <w:szCs w:val="13"/>
                <w:color w:val="auto"/>
              </w:rPr>
              <w:t>2,756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2,782</w:t>
            </w:r>
          </w:p>
        </w:tc>
        <w:tc>
          <w:tcPr>
            <w:tcW w:w="2180" w:type="dxa"/>
            <w:vAlign w:val="bottom"/>
          </w:tcPr>
          <w:p>
            <w:pPr>
              <w:spacing w:after="0"/>
              <w:rPr>
                <w:sz w:val="20"/>
                <w:szCs w:val="20"/>
                <w:color w:val="auto"/>
              </w:rPr>
            </w:pPr>
            <w:r>
              <w:rPr>
                <w:rFonts w:ascii="Arial" w:cs="Arial" w:eastAsia="Arial" w:hAnsi="Arial"/>
                <w:sz w:val="13"/>
                <w:szCs w:val="13"/>
                <w:color w:val="auto"/>
              </w:rPr>
              <w:t>Other income (expense)</w:t>
            </w:r>
          </w:p>
        </w:tc>
        <w:tc>
          <w:tcPr>
            <w:tcW w:w="0" w:type="dxa"/>
            <w:vAlign w:val="bottom"/>
          </w:tcPr>
          <w:p>
            <w:pPr>
              <w:spacing w:after="0"/>
              <w:rPr>
                <w:sz w:val="1"/>
                <w:szCs w:val="1"/>
                <w:color w:val="auto"/>
              </w:rPr>
            </w:pPr>
          </w:p>
        </w:tc>
      </w:tr>
      <w:tr>
        <w:trPr>
          <w:trHeight w:val="157"/>
        </w:trPr>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w:t>
            </w:r>
          </w:p>
        </w:tc>
        <w:tc>
          <w:tcPr>
            <w:tcW w:w="1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(270)</w:t>
            </w:r>
          </w:p>
        </w:tc>
        <w:tc>
          <w:tcPr>
            <w:tcW w:w="14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2,486</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2,782</w:t>
            </w:r>
          </w:p>
        </w:tc>
        <w:tc>
          <w:tcPr>
            <w:tcW w:w="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2009</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20" w:type="dxa"/>
            <w:vAlign w:val="bottom"/>
          </w:tcPr>
          <w:p>
            <w:pPr>
              <w:spacing w:after="0"/>
              <w:rPr>
                <w:sz w:val="20"/>
                <w:szCs w:val="20"/>
                <w:color w:val="auto"/>
              </w:rPr>
            </w:pPr>
            <w:r>
              <w:rPr>
                <w:rFonts w:ascii="Arial" w:cs="Arial" w:eastAsia="Arial" w:hAnsi="Arial"/>
                <w:sz w:val="13"/>
                <w:szCs w:val="13"/>
                <w:color w:val="auto"/>
              </w:rPr>
              <w:t>Currency hedge contracts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360"/>
              <w:spacing w:after="0"/>
              <w:rPr>
                <w:sz w:val="20"/>
                <w:szCs w:val="20"/>
                <w:color w:val="auto"/>
              </w:rPr>
            </w:pPr>
            <w:r>
              <w:rPr>
                <w:rFonts w:ascii="Arial" w:cs="Arial" w:eastAsia="Arial" w:hAnsi="Arial"/>
                <w:sz w:val="13"/>
                <w:szCs w:val="13"/>
                <w:color w:val="auto"/>
              </w:rPr>
              <w:t>(418)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360"/>
              <w:spacing w:after="0"/>
              <w:rPr>
                <w:sz w:val="20"/>
                <w:szCs w:val="20"/>
                <w:color w:val="auto"/>
              </w:rPr>
            </w:pPr>
            <w:r>
              <w:rPr>
                <w:rFonts w:ascii="Arial" w:cs="Arial" w:eastAsia="Arial" w:hAnsi="Arial"/>
                <w:sz w:val="13"/>
                <w:szCs w:val="13"/>
                <w:color w:val="auto"/>
              </w:rPr>
              <w:t>(444)</w:t>
            </w:r>
          </w:p>
        </w:tc>
        <w:tc>
          <w:tcPr>
            <w:tcW w:w="2180" w:type="dxa"/>
            <w:vAlign w:val="bottom"/>
          </w:tcPr>
          <w:p>
            <w:pPr>
              <w:spacing w:after="0"/>
              <w:rPr>
                <w:sz w:val="20"/>
                <w:szCs w:val="20"/>
                <w:color w:val="auto"/>
              </w:rPr>
            </w:pPr>
            <w:r>
              <w:rPr>
                <w:rFonts w:ascii="Arial" w:cs="Arial" w:eastAsia="Arial" w:hAnsi="Arial"/>
                <w:sz w:val="13"/>
                <w:szCs w:val="13"/>
                <w:color w:val="auto"/>
              </w:rPr>
              <w:t>Other income (expense)</w:t>
            </w: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recognized no gains or losses due to ineffectiveness for the years ended December 31, 2010 and 2009.</w:t>
      </w:r>
    </w:p>
    <w:p>
      <w:pPr>
        <w:spacing w:after="0" w:line="171" w:lineRule="exact"/>
        <w:rPr>
          <w:sz w:val="20"/>
          <w:szCs w:val="20"/>
          <w:color w:val="auto"/>
        </w:rPr>
      </w:pPr>
    </w:p>
    <w:p>
      <w:pPr>
        <w:ind w:left="1000" w:hanging="313"/>
        <w:spacing w:after="0"/>
        <w:tabs>
          <w:tab w:leader="none" w:pos="100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TREASURY STOCK</w:t>
      </w:r>
    </w:p>
    <w:p>
      <w:pPr>
        <w:spacing w:after="0" w:line="100"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On October 30, 2007, the Company’s Board of Directors authorized the Company to repurchase shares of its common stock for an aggregate purchase price not to exceed</w:t>
      </w:r>
    </w:p>
    <w:p>
      <w:pPr>
        <w:spacing w:after="0" w:line="15" w:lineRule="exact"/>
        <w:rPr>
          <w:sz w:val="20"/>
          <w:szCs w:val="20"/>
          <w:color w:val="auto"/>
        </w:rPr>
      </w:pPr>
    </w:p>
    <w:p>
      <w:pPr>
        <w:ind w:left="680" w:right="860"/>
        <w:spacing w:after="0" w:line="280" w:lineRule="auto"/>
        <w:rPr>
          <w:sz w:val="20"/>
          <w:szCs w:val="20"/>
          <w:color w:val="auto"/>
        </w:rPr>
      </w:pPr>
      <w:r>
        <w:rPr>
          <w:rFonts w:ascii="Arial" w:cs="Arial" w:eastAsia="Arial" w:hAnsi="Arial"/>
          <w:sz w:val="12"/>
          <w:szCs w:val="12"/>
          <w:color w:val="auto"/>
        </w:rPr>
        <w:t>$75.0 million through December 31, 2008. The Company did not purchase any shares of its common stock under this repurchase program during the year ended December 31, 2008. On October 30, 2008, the Company’s Board of Directors terminated the repurchase authorization it adopted in October 2007 and authorized the Company to repurchase shares of its common stock for an aggregate purchase price not to exceed $75.0 million through December 31, 2010. On October 29, 2010, the Company’s Board of Directors terminated the repurchase authorization it adopted in October 2008 and authorized the Company to repurchase shares of the Company’s common stock for an aggregate purchase price not to exceed $75.0 million through December 31, 2012. Shares may be purchased either in the open market or in privately negotiated transactions. As of December 31, 2010, there remained $75.0 million available for share repurchases under this latest authorization. The following table sets forth the Company’s treasury stock activity (amounts in thousands):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7"/>
          </w:tcPr>
          <w:p>
            <w:pPr>
              <w:ind w:left="200"/>
              <w:spacing w:after="0"/>
              <w:rPr>
                <w:sz w:val="20"/>
                <w:szCs w:val="20"/>
                <w:color w:val="auto"/>
              </w:rPr>
            </w:pPr>
            <w:r>
              <w:rPr>
                <w:rFonts w:ascii="Arial" w:cs="Arial" w:eastAsia="Arial" w:hAnsi="Arial"/>
                <w:sz w:val="10"/>
                <w:szCs w:val="10"/>
                <w:b w:val="1"/>
                <w:bCs w:val="1"/>
                <w:color w:val="auto"/>
              </w:rPr>
              <w:t>Years Ended December 31,</w:t>
            </w: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r>
      <w:tr>
        <w:trPr>
          <w:trHeight w:val="98"/>
        </w:trPr>
        <w:tc>
          <w:tcPr>
            <w:tcW w:w="5960" w:type="dxa"/>
            <w:vAlign w:val="bottom"/>
          </w:tcPr>
          <w:p>
            <w:pPr>
              <w:spacing w:after="0"/>
              <w:rPr>
                <w:sz w:val="8"/>
                <w:szCs w:val="8"/>
                <w:color w:val="auto"/>
              </w:rPr>
            </w:pPr>
          </w:p>
        </w:tc>
        <w:tc>
          <w:tcPr>
            <w:tcW w:w="1220" w:type="dxa"/>
            <w:vAlign w:val="bottom"/>
            <w:tcBorders>
              <w:bottom w:val="single" w:sz="8" w:color="auto"/>
            </w:tcBorders>
            <w:gridSpan w:val="4"/>
          </w:tcPr>
          <w:p>
            <w:pPr>
              <w:jc w:val="right"/>
              <w:ind w:right="20"/>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jc w:val="right"/>
              <w:ind w:right="88"/>
              <w:spacing w:after="0" w:line="98" w:lineRule="exact"/>
              <w:rPr>
                <w:sz w:val="20"/>
                <w:szCs w:val="20"/>
                <w:color w:val="auto"/>
              </w:rPr>
            </w:pPr>
            <w:r>
              <w:rPr>
                <w:rFonts w:ascii="Arial" w:cs="Arial" w:eastAsia="Arial" w:hAnsi="Arial"/>
                <w:sz w:val="10"/>
                <w:szCs w:val="10"/>
                <w:b w:val="1"/>
                <w:bCs w:val="1"/>
                <w:color w:val="auto"/>
              </w:rPr>
              <w:t>2009</w:t>
            </w: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98"/>
        </w:trPr>
        <w:tc>
          <w:tcPr>
            <w:tcW w:w="5960" w:type="dxa"/>
            <w:vAlign w:val="bottom"/>
          </w:tcPr>
          <w:p>
            <w:pPr>
              <w:spacing w:after="0"/>
              <w:rPr>
                <w:sz w:val="8"/>
                <w:szCs w:val="8"/>
                <w:color w:val="auto"/>
              </w:rPr>
            </w:pPr>
          </w:p>
        </w:tc>
        <w:tc>
          <w:tcPr>
            <w:tcW w:w="660" w:type="dxa"/>
            <w:vAlign w:val="bottom"/>
            <w:tcBorders>
              <w:bottom w:val="single" w:sz="8" w:color="auto"/>
            </w:tcBorders>
            <w:gridSpan w:val="2"/>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auto"/>
            </w:tcBorders>
            <w:gridSpan w:val="3"/>
          </w:tcPr>
          <w:p>
            <w:pPr>
              <w:jc w:val="center"/>
              <w:spacing w:after="0" w:line="98" w:lineRule="exact"/>
              <w:rPr>
                <w:sz w:val="20"/>
                <w:szCs w:val="20"/>
                <w:color w:val="auto"/>
              </w:rPr>
            </w:pPr>
            <w:r>
              <w:rPr>
                <w:rFonts w:ascii="Arial" w:cs="Arial" w:eastAsia="Arial" w:hAnsi="Arial"/>
                <w:sz w:val="10"/>
                <w:szCs w:val="10"/>
                <w:b w:val="1"/>
                <w:bCs w:val="1"/>
                <w:color w:val="auto"/>
                <w:w w:val="92"/>
              </w:rPr>
              <w:t># of Shares</w:t>
            </w:r>
          </w:p>
        </w:tc>
        <w:tc>
          <w:tcPr>
            <w:tcW w:w="280" w:type="dxa"/>
            <w:vAlign w:val="bottom"/>
          </w:tcPr>
          <w:p>
            <w:pPr>
              <w:spacing w:after="0"/>
              <w:rPr>
                <w:sz w:val="8"/>
                <w:szCs w:val="8"/>
                <w:color w:val="auto"/>
              </w:rPr>
            </w:pPr>
          </w:p>
        </w:tc>
        <w:tc>
          <w:tcPr>
            <w:tcW w:w="240" w:type="dxa"/>
            <w:vAlign w:val="bottom"/>
            <w:tcBorders>
              <w:bottom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auto"/>
            </w:tcBorders>
            <w:gridSpan w:val="3"/>
          </w:tcPr>
          <w:p>
            <w:pPr>
              <w:jc w:val="center"/>
              <w:spacing w:after="0" w:line="98" w:lineRule="exact"/>
              <w:rPr>
                <w:sz w:val="20"/>
                <w:szCs w:val="20"/>
                <w:color w:val="auto"/>
              </w:rPr>
            </w:pPr>
            <w:r>
              <w:rPr>
                <w:rFonts w:ascii="Arial" w:cs="Arial" w:eastAsia="Arial" w:hAnsi="Arial"/>
                <w:sz w:val="10"/>
                <w:szCs w:val="10"/>
                <w:b w:val="1"/>
                <w:bCs w:val="1"/>
                <w:color w:val="auto"/>
                <w:w w:val="88"/>
              </w:rPr>
              <w:t># of Shares</w:t>
            </w:r>
          </w:p>
        </w:tc>
      </w:tr>
      <w:tr>
        <w:trPr>
          <w:trHeight w:val="186"/>
        </w:trPr>
        <w:tc>
          <w:tcPr>
            <w:tcW w:w="5960" w:type="dxa"/>
            <w:vAlign w:val="bottom"/>
          </w:tcPr>
          <w:p>
            <w:pPr>
              <w:spacing w:after="0"/>
              <w:rPr>
                <w:sz w:val="20"/>
                <w:szCs w:val="20"/>
                <w:color w:val="auto"/>
              </w:rPr>
            </w:pPr>
            <w:r>
              <w:rPr>
                <w:rFonts w:ascii="Arial" w:cs="Arial" w:eastAsia="Arial" w:hAnsi="Arial"/>
                <w:sz w:val="13"/>
                <w:szCs w:val="13"/>
                <w:color w:val="auto"/>
              </w:rPr>
              <w:t>Shares repurchased in the open market in connection with the Board approved buyback program</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$31,278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3"/>
                <w:szCs w:val="13"/>
                <w:color w:val="auto"/>
              </w:rPr>
              <w:t>858</w:t>
            </w:r>
          </w:p>
        </w:tc>
        <w:tc>
          <w:tcPr>
            <w:tcW w:w="280" w:type="dxa"/>
            <w:vAlign w:val="bottom"/>
          </w:tcPr>
          <w:p>
            <w:pPr>
              <w:spacing w:after="0"/>
              <w:rPr>
                <w:sz w:val="16"/>
                <w:szCs w:val="16"/>
                <w:color w:val="auto"/>
              </w:rPr>
            </w:pPr>
          </w:p>
        </w:tc>
        <w:tc>
          <w:tcPr>
            <w:tcW w:w="34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gridSpan w:val="2"/>
          </w:tcPr>
          <w:p>
            <w:pPr>
              <w:jc w:val="center"/>
              <w:ind w:right="380"/>
              <w:spacing w:after="0"/>
              <w:rPr>
                <w:sz w:val="20"/>
                <w:szCs w:val="20"/>
                <w:color w:val="auto"/>
              </w:rPr>
            </w:pPr>
            <w:r>
              <w:rPr>
                <w:rFonts w:ascii="Arial" w:cs="Arial" w:eastAsia="Arial" w:hAnsi="Arial"/>
                <w:sz w:val="13"/>
                <w:szCs w:val="13"/>
                <w:color w:val="auto"/>
              </w:rPr>
              <w:t>—</w:t>
            </w:r>
          </w:p>
        </w:tc>
      </w:tr>
      <w:tr>
        <w:trPr>
          <w:trHeight w:val="20"/>
        </w:trPr>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STOCK PURCHASE AND AWARD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Employee stock-based compensation expense recognized under the authoritative guidance was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31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16,694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Research and development expense</w:t>
            </w:r>
          </w:p>
        </w:tc>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426</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492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revenues</w:t>
            </w:r>
          </w:p>
        </w:tc>
        <w:tc>
          <w:tcPr>
            <w:tcW w:w="2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3"/>
                <w:szCs w:val="13"/>
                <w:color w:val="auto"/>
              </w:rPr>
              <w:t>Total employee stock-based compensation expense</w:t>
            </w:r>
          </w:p>
        </w:tc>
        <w:tc>
          <w:tcPr>
            <w:tcW w:w="2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17,209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15,580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32,635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Total tax benefit related to employee stock-based compensation expense</w:t>
            </w:r>
          </w:p>
        </w:tc>
        <w:tc>
          <w:tcPr>
            <w:tcW w:w="2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7,006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6,253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3"/>
                <w:szCs w:val="13"/>
                <w:color w:val="auto"/>
              </w:rPr>
              <w:t>Net effect on net income</w:t>
            </w:r>
          </w:p>
        </w:tc>
        <w:tc>
          <w:tcPr>
            <w:tcW w:w="2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34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10,203</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9,327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19,582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960" w:type="dxa"/>
            <w:vAlign w:val="bottom"/>
          </w:tcPr>
          <w:p>
            <w:pPr>
              <w:ind w:left="540"/>
              <w:spacing w:after="0"/>
              <w:rPr>
                <w:sz w:val="20"/>
                <w:szCs w:val="20"/>
                <w:color w:val="auto"/>
              </w:rPr>
            </w:pPr>
            <w:r>
              <w:rPr>
                <w:rFonts w:ascii="Arial" w:cs="Arial" w:eastAsia="Arial" w:hAnsi="Arial"/>
                <w:sz w:val="13"/>
                <w:szCs w:val="13"/>
                <w:color w:val="auto"/>
              </w:rPr>
              <w:t>F-21</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Company has never paid cash dividends and does not currently intend to pay cash dividends, and thus has assumed a 0% dividend yield. Expected volatilities are based on the historical volatility of the Company’s stock price with forward-looking assumptions.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rates is based primarily upon historical experience of employee turnover. As individual grant awards become fully vested, stock-based compensation expense is adjusted to recognize actual forfeitures. The following weighted-average assumptions were used in the calculation of fair value: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Years Ended December 31,</w:t>
            </w:r>
          </w:p>
        </w:tc>
      </w:tr>
      <w:tr>
        <w:trPr>
          <w:trHeight w:val="98"/>
        </w:trPr>
        <w:tc>
          <w:tcPr>
            <w:tcW w:w="6500" w:type="dxa"/>
            <w:vAlign w:val="bottom"/>
          </w:tcPr>
          <w:p>
            <w:pPr>
              <w:spacing w:after="0"/>
              <w:rPr>
                <w:sz w:val="8"/>
                <w:szCs w:val="8"/>
                <w:color w:val="auto"/>
              </w:rPr>
            </w:pPr>
          </w:p>
        </w:tc>
        <w:tc>
          <w:tcPr>
            <w:tcW w:w="7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2010</w:t>
            </w:r>
          </w:p>
        </w:tc>
        <w:tc>
          <w:tcPr>
            <w:tcW w:w="100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98"/>
              </w:rPr>
              <w:t>2009</w:t>
            </w:r>
          </w:p>
        </w:tc>
        <w:tc>
          <w:tcPr>
            <w:tcW w:w="1780" w:type="dxa"/>
            <w:vAlign w:val="bottom"/>
            <w:gridSpan w:val="2"/>
          </w:tcPr>
          <w:p>
            <w:pPr>
              <w:jc w:val="center"/>
              <w:ind w:left="239"/>
              <w:spacing w:after="0" w:line="98" w:lineRule="exact"/>
              <w:rPr>
                <w:sz w:val="20"/>
                <w:szCs w:val="20"/>
                <w:color w:val="auto"/>
              </w:rPr>
            </w:pPr>
            <w:r>
              <w:rPr>
                <w:rFonts w:ascii="Arial" w:cs="Arial" w:eastAsia="Arial" w:hAnsi="Arial"/>
                <w:sz w:val="10"/>
                <w:szCs w:val="10"/>
                <w:b w:val="1"/>
                <w:bCs w:val="1"/>
                <w:color w:val="auto"/>
                <w:w w:val="89"/>
              </w:rPr>
              <w:t>2008</w:t>
            </w:r>
          </w:p>
        </w:tc>
      </w:tr>
      <w:tr>
        <w:trPr>
          <w:trHeight w:val="29"/>
        </w:trPr>
        <w:tc>
          <w:tcPr>
            <w:tcW w:w="6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w:t>
            </w:r>
          </w:p>
        </w:tc>
        <w:tc>
          <w:tcPr>
            <w:tcW w:w="10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5"/>
              </w:rPr>
              <w:t>0%</w:t>
            </w:r>
          </w:p>
        </w:tc>
        <w:tc>
          <w:tcPr>
            <w:tcW w:w="1780" w:type="dxa"/>
            <w:vAlign w:val="bottom"/>
            <w:gridSpan w:val="2"/>
            <w:shd w:val="clear" w:color="auto" w:fill="CCEEFF"/>
          </w:tcPr>
          <w:p>
            <w:pPr>
              <w:jc w:val="center"/>
              <w:ind w:left="239"/>
              <w:spacing w:after="0"/>
              <w:rPr>
                <w:sz w:val="20"/>
                <w:szCs w:val="20"/>
                <w:color w:val="auto"/>
              </w:rPr>
            </w:pPr>
            <w:r>
              <w:rPr>
                <w:rFonts w:ascii="Arial" w:cs="Arial" w:eastAsia="Arial" w:hAnsi="Arial"/>
                <w:sz w:val="13"/>
                <w:szCs w:val="13"/>
                <w:color w:val="auto"/>
                <w:w w:val="84"/>
              </w:rPr>
              <w:t>0%</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Expected volatility</w:t>
            </w: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30%</w:t>
            </w:r>
          </w:p>
        </w:tc>
        <w:tc>
          <w:tcPr>
            <w:tcW w:w="1000" w:type="dxa"/>
            <w:vAlign w:val="bottom"/>
            <w:gridSpan w:val="2"/>
          </w:tcPr>
          <w:p>
            <w:pPr>
              <w:jc w:val="center"/>
              <w:ind w:left="218"/>
              <w:spacing w:after="0"/>
              <w:rPr>
                <w:sz w:val="20"/>
                <w:szCs w:val="20"/>
                <w:color w:val="auto"/>
              </w:rPr>
            </w:pPr>
            <w:r>
              <w:rPr>
                <w:rFonts w:ascii="Arial" w:cs="Arial" w:eastAsia="Arial" w:hAnsi="Arial"/>
                <w:sz w:val="13"/>
                <w:szCs w:val="13"/>
                <w:color w:val="auto"/>
                <w:w w:val="92"/>
              </w:rPr>
              <w:t>29%</w:t>
            </w:r>
          </w:p>
        </w:tc>
        <w:tc>
          <w:tcPr>
            <w:tcW w:w="1780" w:type="dxa"/>
            <w:vAlign w:val="bottom"/>
            <w:gridSpan w:val="2"/>
          </w:tcPr>
          <w:p>
            <w:pPr>
              <w:jc w:val="center"/>
              <w:ind w:left="239"/>
              <w:spacing w:after="0"/>
              <w:rPr>
                <w:sz w:val="20"/>
                <w:szCs w:val="20"/>
                <w:color w:val="auto"/>
              </w:rPr>
            </w:pPr>
            <w:r>
              <w:rPr>
                <w:rFonts w:ascii="Arial" w:cs="Arial" w:eastAsia="Arial" w:hAnsi="Arial"/>
                <w:sz w:val="13"/>
                <w:szCs w:val="13"/>
                <w:color w:val="auto"/>
                <w:w w:val="92"/>
              </w:rPr>
              <w:t>29%</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Risk free interest rate</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2.82%</w:t>
            </w:r>
          </w:p>
        </w:tc>
        <w:tc>
          <w:tcPr>
            <w:tcW w:w="10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87"/>
              </w:rPr>
              <w:t>2.0%</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2.11% to 4.01%</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Expected life of option from grant date</w:t>
            </w:r>
          </w:p>
        </w:tc>
        <w:tc>
          <w:tcPr>
            <w:tcW w:w="700" w:type="dxa"/>
            <w:vAlign w:val="bottom"/>
          </w:tcPr>
          <w:p>
            <w:pPr>
              <w:ind w:left="160"/>
              <w:spacing w:after="0"/>
              <w:rPr>
                <w:sz w:val="20"/>
                <w:szCs w:val="20"/>
                <w:color w:val="auto"/>
              </w:rPr>
            </w:pPr>
            <w:r>
              <w:rPr>
                <w:rFonts w:ascii="Arial" w:cs="Arial" w:eastAsia="Arial" w:hAnsi="Arial"/>
                <w:sz w:val="13"/>
                <w:szCs w:val="13"/>
                <w:color w:val="auto"/>
              </w:rPr>
              <w:t>8 years</w:t>
            </w:r>
          </w:p>
        </w:tc>
        <w:tc>
          <w:tcPr>
            <w:tcW w:w="30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auto"/>
              </w:rPr>
              <w:t>8 years</w:t>
            </w:r>
          </w:p>
        </w:tc>
        <w:tc>
          <w:tcPr>
            <w:tcW w:w="2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89"/>
              </w:rPr>
              <w:t>6.8 years</w:t>
            </w:r>
          </w:p>
        </w:tc>
      </w:tr>
    </w:tbl>
    <w:p>
      <w:pPr>
        <w:spacing w:after="0" w:line="72"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The effect of the change in estimate has been accounted for on a prospective basis. The Company values stock option grants using the binomial distribution model. Management believes that the binomial distribution model is preferable to the Black-Scholes model because the binomial distribution model is a more flexible model that considers the impact of non-transferability, vesting and forfeiture provisions in the valuation of employee stock options.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purpose of the Employee Stock Purchase Plan (the “ESPP”) is to provide eligible employees of the Company with the opportunity to acquire shares of common stock at periodic intervals by means of accumulated payroll deductions. Under the ESPP, a total of 1.5 million shares of common stock are reserved for issuance. These shares will be made available either from the Company’s authorized but unissued shares of common stock or from shares of common stock reacquired by the Company as treasury shares. At December 31, 2010, 1.1 million shares remain available for purchase under the ESPP. During the years ended December 31, 2010, 2009 and 2008, the Company issued 5,515 shares, 7,263 shares and 11,873 shares under the ESPP for $0.2 million, $0.3 million and $0.4 million, respectively.</w:t>
      </w:r>
    </w:p>
    <w:p>
      <w:pPr>
        <w:spacing w:after="0" w:line="7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ESPP was amended in 2005 to reduce the discount available to participants to five percent and to fix the price against which such discount would be applied. Accordingly, the ESPP is a non-compensatory plan.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EQUITY AWARD PLANS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As of December 31, 2010, the Company had stock options, restricted stock awards, and contract stock outstanding under six plans,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the 1996 Plan, the 1998 Plan, the 1999 Plan or the 2000 Plan.</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 July 2008 and May 2010, the stockholders of the Company approved amendments to the 2003 Plan to increase by 750,000 and 1,750,000, respectively, the number of shares of common stock that may be issued under the 2003 Plan. The Company has reserved 750,000 shares of common stock for issuance under both the 1993 Plan and 1996 Plan, 1,000,000 shares under the 1998 Plan, 2,000,000 shares under each of the 1999 Plan, the 2000 Plan and the 2001 Plan, and 6,500,000 shares under the 2003 Plan. The 1993 Plan, 1996 Plan, 1998 Plan, and the</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1999 Plan permit the Company to grant both incentive and non-qualified stock options to designated directors, officers, employees and associates of the Company. The 2000 Plan, 2001 Plan, and 2003 Plan permit the Company to grant incentive and non-qualified stock options, stock appreciation rights, restricted stock, contract stock, performance stock, or dividend equivalent rights to designated directors, officers, employees and associates of the Company. 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at three years after the date of grant.</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stock option activity: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Weighted</w:t>
            </w: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Weighted</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14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00" w:type="dxa"/>
            <w:vAlign w:val="bottom"/>
            <w:vMerge w:val="restart"/>
          </w:tcPr>
          <w:p>
            <w:pPr>
              <w:spacing w:after="0"/>
              <w:rPr>
                <w:sz w:val="20"/>
                <w:szCs w:val="20"/>
                <w:color w:val="auto"/>
              </w:rPr>
            </w:pPr>
            <w:r>
              <w:rPr>
                <w:rFonts w:ascii="Arial" w:cs="Arial" w:eastAsia="Arial" w:hAnsi="Arial"/>
                <w:sz w:val="10"/>
                <w:szCs w:val="10"/>
                <w:b w:val="1"/>
                <w:bCs w:val="1"/>
                <w:color w:val="auto"/>
              </w:rPr>
              <w:t>Stock Options</w:t>
            </w:r>
          </w:p>
        </w:tc>
        <w:tc>
          <w:tcPr>
            <w:tcW w:w="200" w:type="dxa"/>
            <w:vAlign w:val="bottom"/>
          </w:tcPr>
          <w:p>
            <w:pPr>
              <w:spacing w:after="0"/>
              <w:rPr>
                <w:sz w:val="9"/>
                <w:szCs w:val="9"/>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87"/>
              </w:rPr>
              <w:t>Exercise</w:t>
            </w:r>
          </w:p>
        </w:tc>
        <w:tc>
          <w:tcPr>
            <w:tcW w:w="14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4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14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Term in Years</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131"/>
        </w:trPr>
        <w:tc>
          <w:tcPr>
            <w:tcW w:w="4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95"/>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2009</w:t>
            </w: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2,408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33.65</w:t>
            </w: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20"/>
                <w:szCs w:val="20"/>
                <w:color w:val="auto"/>
              </w:rPr>
            </w:pPr>
            <w:r>
              <w:rPr>
                <w:rFonts w:ascii="Arial" w:cs="Arial" w:eastAsia="Arial" w:hAnsi="Arial"/>
                <w:sz w:val="13"/>
                <w:szCs w:val="13"/>
                <w:color w:val="auto"/>
              </w:rPr>
              <w:t>Granted</w:t>
            </w:r>
          </w:p>
        </w:tc>
        <w:tc>
          <w:tcPr>
            <w:tcW w:w="1620" w:type="dxa"/>
            <w:vAlign w:val="bottom"/>
            <w:gridSpan w:val="3"/>
          </w:tcPr>
          <w:p>
            <w:pPr>
              <w:jc w:val="right"/>
              <w:ind w:right="400"/>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41.75</w:t>
            </w: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(884)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26.27</w:t>
            </w: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00" w:type="dxa"/>
            <w:vAlign w:val="bottom"/>
          </w:tcPr>
          <w:p>
            <w:pPr>
              <w:spacing w:after="0"/>
              <w:rPr>
                <w:sz w:val="20"/>
                <w:szCs w:val="20"/>
                <w:color w:val="auto"/>
              </w:rPr>
            </w:pPr>
            <w:r>
              <w:rPr>
                <w:rFonts w:ascii="Arial" w:cs="Arial" w:eastAsia="Arial" w:hAnsi="Arial"/>
                <w:sz w:val="13"/>
                <w:szCs w:val="13"/>
                <w:color w:val="auto"/>
              </w:rPr>
              <w:t>Forfeited or Expired</w:t>
            </w:r>
          </w:p>
        </w:tc>
        <w:tc>
          <w:tcPr>
            <w:tcW w:w="200" w:type="dxa"/>
            <w:vAlign w:val="bottom"/>
          </w:tcPr>
          <w:p>
            <w:pPr>
              <w:spacing w:after="0"/>
              <w:rPr>
                <w:sz w:val="13"/>
                <w:szCs w:val="13"/>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34.02</w:t>
            </w: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2010</w:t>
            </w:r>
          </w:p>
        </w:tc>
        <w:tc>
          <w:tcPr>
            <w:tcW w:w="2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38.13</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14,567</w:t>
            </w:r>
          </w:p>
        </w:tc>
        <w:tc>
          <w:tcPr>
            <w:tcW w:w="0" w:type="dxa"/>
            <w:vAlign w:val="bottom"/>
          </w:tcPr>
          <w:p>
            <w:pPr>
              <w:spacing w:after="0"/>
              <w:rPr>
                <w:sz w:val="1"/>
                <w:szCs w:val="1"/>
                <w:color w:val="auto"/>
              </w:rPr>
            </w:pPr>
          </w:p>
        </w:tc>
      </w:tr>
      <w:tr>
        <w:trPr>
          <w:trHeight w:val="29"/>
        </w:trPr>
        <w:tc>
          <w:tcPr>
            <w:tcW w:w="4900" w:type="dxa"/>
            <w:vAlign w:val="bottom"/>
            <w:vMerge w:val="restart"/>
          </w:tcPr>
          <w:p>
            <w:pPr>
              <w:spacing w:after="0"/>
              <w:rPr>
                <w:sz w:val="20"/>
                <w:szCs w:val="20"/>
                <w:color w:val="auto"/>
              </w:rPr>
            </w:pPr>
            <w:r>
              <w:rPr>
                <w:rFonts w:ascii="Arial" w:cs="Arial" w:eastAsia="Arial" w:hAnsi="Arial"/>
                <w:sz w:val="13"/>
                <w:szCs w:val="13"/>
                <w:color w:val="auto"/>
              </w:rPr>
              <w:t>Vested or expected to vest at December 31, 2010</w:t>
            </w: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38.13</w:t>
            </w:r>
          </w:p>
        </w:tc>
        <w:tc>
          <w:tcPr>
            <w:tcW w:w="14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5.0</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14,567</w:t>
            </w:r>
          </w:p>
        </w:tc>
        <w:tc>
          <w:tcPr>
            <w:tcW w:w="0" w:type="dxa"/>
            <w:vAlign w:val="bottom"/>
          </w:tcPr>
          <w:p>
            <w:pPr>
              <w:spacing w:after="0" w:line="20" w:lineRule="exact"/>
              <w:rPr>
                <w:sz w:val="1"/>
                <w:szCs w:val="1"/>
                <w:color w:val="auto"/>
              </w:rPr>
            </w:pPr>
          </w:p>
        </w:tc>
      </w:tr>
      <w:tr>
        <w:trPr>
          <w:trHeight w:val="166"/>
        </w:trPr>
        <w:tc>
          <w:tcPr>
            <w:tcW w:w="4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3"/>
                <w:szCs w:val="13"/>
                <w:color w:val="auto"/>
              </w:rPr>
              <w:t>1,560</w:t>
            </w:r>
          </w:p>
        </w:tc>
        <w:tc>
          <w:tcPr>
            <w:tcW w:w="8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Exercisable at December 31, 2010</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37.62</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14,021</w:t>
            </w:r>
          </w:p>
        </w:tc>
        <w:tc>
          <w:tcPr>
            <w:tcW w:w="0" w:type="dxa"/>
            <w:vAlign w:val="bottom"/>
          </w:tcPr>
          <w:p>
            <w:pPr>
              <w:spacing w:after="0"/>
              <w:rPr>
                <w:sz w:val="1"/>
                <w:szCs w:val="1"/>
                <w:color w:val="auto"/>
              </w:rPr>
            </w:pPr>
          </w:p>
        </w:tc>
      </w:tr>
      <w:tr>
        <w:trPr>
          <w:trHeight w:val="29"/>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intrinsic value of options exercised for the years ended December 31, 2010, 2009 and 2008 was $14.4 million, $1.0 million and $9.2 million, respectively. The weighted average grant date fair value of options granted during the years ended December 31, 2010, 2009 and 2008 was $17.03, $8.12 and $18.08, respectively. Cash received from option exercises was $16.1 million, $6.6 million and $11.5 million, for the years ended December 31, 2010, 2009 and 2008, respectively.</w:t>
      </w:r>
    </w:p>
    <w:p>
      <w:pPr>
        <w:spacing w:after="0" w:line="67"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As of December 31, 2010, there was approximately $1.9 million of total unrecognized compensation costs related to unvested stock options. These costs are expected to be recognized over a weighted-average period of approximately 1.1 years.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Awards of Restricted Stock, Performance Stock and Contract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Company’s awards of restricted stock, performance stock and contract stock for the year ended December 31, 2010 (shares in thousands):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60" w:type="dxa"/>
            <w:vAlign w:val="bottom"/>
          </w:tcPr>
          <w:p>
            <w:pPr>
              <w:spacing w:after="0"/>
              <w:rPr>
                <w:sz w:val="10"/>
                <w:szCs w:val="10"/>
                <w:color w:val="auto"/>
              </w:rPr>
            </w:pPr>
          </w:p>
        </w:tc>
        <w:tc>
          <w:tcPr>
            <w:tcW w:w="2400" w:type="dxa"/>
            <w:vAlign w:val="bottom"/>
            <w:gridSpan w:val="7"/>
            <w:vMerge w:val="restart"/>
          </w:tcPr>
          <w:p>
            <w:pPr>
              <w:ind w:left="460"/>
              <w:spacing w:after="0"/>
              <w:rPr>
                <w:sz w:val="20"/>
                <w:szCs w:val="20"/>
                <w:color w:val="auto"/>
              </w:rPr>
            </w:pPr>
            <w:r>
              <w:rPr>
                <w:rFonts w:ascii="Arial" w:cs="Arial" w:eastAsia="Arial" w:hAnsi="Arial"/>
                <w:sz w:val="10"/>
                <w:szCs w:val="10"/>
                <w:b w:val="1"/>
                <w:bCs w:val="1"/>
                <w:color w:val="auto"/>
              </w:rPr>
              <w:t>Restricted Stock Awards</w:t>
            </w:r>
          </w:p>
        </w:tc>
        <w:tc>
          <w:tcPr>
            <w:tcW w:w="1420" w:type="dxa"/>
            <w:vAlign w:val="bottom"/>
            <w:gridSpan w:val="5"/>
          </w:tcPr>
          <w:p>
            <w:pPr>
              <w:jc w:val="right"/>
              <w:ind w:right="200"/>
              <w:spacing w:after="0"/>
              <w:rPr>
                <w:sz w:val="20"/>
                <w:szCs w:val="20"/>
                <w:color w:val="auto"/>
              </w:rPr>
            </w:pPr>
            <w:r>
              <w:rPr>
                <w:rFonts w:ascii="Arial" w:cs="Arial" w:eastAsia="Arial" w:hAnsi="Arial"/>
                <w:sz w:val="10"/>
                <w:szCs w:val="10"/>
                <w:b w:val="1"/>
                <w:bCs w:val="1"/>
                <w:color w:val="auto"/>
              </w:rPr>
              <w:t>Performance Stock and</w:t>
            </w:r>
          </w:p>
        </w:tc>
        <w:tc>
          <w:tcPr>
            <w:tcW w:w="0" w:type="dxa"/>
            <w:vAlign w:val="bottom"/>
          </w:tcPr>
          <w:p>
            <w:pPr>
              <w:spacing w:after="0"/>
              <w:rPr>
                <w:sz w:val="1"/>
                <w:szCs w:val="1"/>
                <w:color w:val="auto"/>
              </w:rPr>
            </w:pPr>
          </w:p>
        </w:tc>
      </w:tr>
      <w:tr>
        <w:trPr>
          <w:trHeight w:val="125"/>
        </w:trPr>
        <w:tc>
          <w:tcPr>
            <w:tcW w:w="6160" w:type="dxa"/>
            <w:vAlign w:val="bottom"/>
          </w:tcPr>
          <w:p>
            <w:pPr>
              <w:spacing w:after="0"/>
              <w:rPr>
                <w:sz w:val="10"/>
                <w:szCs w:val="10"/>
                <w:color w:val="auto"/>
              </w:rPr>
            </w:pPr>
          </w:p>
        </w:tc>
        <w:tc>
          <w:tcPr>
            <w:tcW w:w="2400" w:type="dxa"/>
            <w:vAlign w:val="bottom"/>
            <w:gridSpan w:val="7"/>
            <w:vMerge w:val="continue"/>
          </w:tcPr>
          <w:p>
            <w:pPr>
              <w:spacing w:after="0"/>
              <w:rPr>
                <w:sz w:val="10"/>
                <w:szCs w:val="10"/>
                <w:color w:val="auto"/>
              </w:rPr>
            </w:pPr>
          </w:p>
        </w:tc>
        <w:tc>
          <w:tcPr>
            <w:tcW w:w="1420" w:type="dxa"/>
            <w:vAlign w:val="bottom"/>
            <w:gridSpan w:val="5"/>
          </w:tcPr>
          <w:p>
            <w:pPr>
              <w:jc w:val="right"/>
              <w:ind w:right="200"/>
              <w:spacing w:after="0"/>
              <w:rPr>
                <w:sz w:val="20"/>
                <w:szCs w:val="20"/>
                <w:color w:val="auto"/>
              </w:rPr>
            </w:pPr>
            <w:r>
              <w:rPr>
                <w:rFonts w:ascii="Arial" w:cs="Arial" w:eastAsia="Arial" w:hAnsi="Arial"/>
                <w:sz w:val="10"/>
                <w:szCs w:val="10"/>
                <w:b w:val="1"/>
                <w:bCs w:val="1"/>
                <w:color w:val="auto"/>
              </w:rPr>
              <w:t>Contract Stock Awards</w:t>
            </w:r>
          </w:p>
        </w:tc>
        <w:tc>
          <w:tcPr>
            <w:tcW w:w="0" w:type="dxa"/>
            <w:vAlign w:val="bottom"/>
          </w:tcPr>
          <w:p>
            <w:pPr>
              <w:spacing w:after="0"/>
              <w:rPr>
                <w:sz w:val="1"/>
                <w:szCs w:val="1"/>
                <w:color w:val="auto"/>
              </w:rPr>
            </w:pPr>
          </w:p>
        </w:tc>
      </w:tr>
      <w:tr>
        <w:trPr>
          <w:trHeight w:val="81"/>
        </w:trPr>
        <w:tc>
          <w:tcPr>
            <w:tcW w:w="61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ind w:left="20"/>
              <w:spacing w:after="0" w:line="81" w:lineRule="exact"/>
              <w:rPr>
                <w:sz w:val="20"/>
                <w:szCs w:val="20"/>
                <w:color w:val="auto"/>
              </w:rPr>
            </w:pPr>
            <w:r>
              <w:rPr>
                <w:rFonts w:ascii="Arial" w:cs="Arial" w:eastAsia="Arial" w:hAnsi="Arial"/>
                <w:sz w:val="9"/>
                <w:szCs w:val="9"/>
                <w:b w:val="1"/>
                <w:bCs w:val="1"/>
                <w:color w:val="auto"/>
              </w:rPr>
              <w:t>Wtd. Avg.</w:t>
            </w:r>
          </w:p>
        </w:tc>
        <w:tc>
          <w:tcPr>
            <w:tcW w:w="38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Wtd. Avg</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0"/>
                <w:szCs w:val="10"/>
                <w:b w:val="1"/>
                <w:bCs w:val="1"/>
                <w:color w:val="auto"/>
                <w:w w:val="95"/>
              </w:rPr>
              <w:t>Shares</w:t>
            </w: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ind w:left="20"/>
              <w:spacing w:after="0" w:line="108" w:lineRule="exact"/>
              <w:rPr>
                <w:sz w:val="20"/>
                <w:szCs w:val="20"/>
                <w:color w:val="auto"/>
              </w:rPr>
            </w:pPr>
            <w:r>
              <w:rPr>
                <w:rFonts w:ascii="Arial" w:cs="Arial" w:eastAsia="Arial" w:hAnsi="Arial"/>
                <w:sz w:val="10"/>
                <w:szCs w:val="10"/>
                <w:b w:val="1"/>
                <w:bCs w:val="1"/>
                <w:color w:val="auto"/>
              </w:rPr>
              <w:t>Fair Value</w:t>
            </w:r>
          </w:p>
        </w:tc>
        <w:tc>
          <w:tcPr>
            <w:tcW w:w="80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Shares</w:t>
            </w:r>
          </w:p>
        </w:tc>
        <w:tc>
          <w:tcPr>
            <w:tcW w:w="620" w:type="dxa"/>
            <w:vAlign w:val="bottom"/>
            <w:gridSpan w:val="3"/>
          </w:tcPr>
          <w:p>
            <w:pPr>
              <w:jc w:val="center"/>
              <w:ind w:right="40"/>
              <w:spacing w:after="0" w:line="108" w:lineRule="exact"/>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25"/>
        </w:trPr>
        <w:tc>
          <w:tcPr>
            <w:tcW w:w="6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Arial" w:cs="Arial" w:eastAsia="Arial" w:hAnsi="Arial"/>
                <w:sz w:val="10"/>
                <w:szCs w:val="10"/>
                <w:b w:val="1"/>
                <w:bCs w:val="1"/>
                <w:color w:val="auto"/>
              </w:rPr>
              <w:t>Per Share</w:t>
            </w:r>
          </w:p>
        </w:tc>
        <w:tc>
          <w:tcPr>
            <w:tcW w:w="8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Per Share</w:t>
            </w:r>
          </w:p>
        </w:tc>
        <w:tc>
          <w:tcPr>
            <w:tcW w:w="0" w:type="dxa"/>
            <w:vAlign w:val="bottom"/>
          </w:tcPr>
          <w:p>
            <w:pPr>
              <w:spacing w:after="0"/>
              <w:rPr>
                <w:sz w:val="1"/>
                <w:szCs w:val="1"/>
                <w:color w:val="auto"/>
              </w:rPr>
            </w:pPr>
          </w:p>
        </w:tc>
      </w:tr>
      <w:tr>
        <w:trPr>
          <w:trHeight w:val="29"/>
        </w:trPr>
        <w:tc>
          <w:tcPr>
            <w:tcW w:w="616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Unvested, December 31, 2009</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32.29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36.15</w:t>
            </w:r>
          </w:p>
        </w:tc>
        <w:tc>
          <w:tcPr>
            <w:tcW w:w="0" w:type="dxa"/>
            <w:vAlign w:val="bottom"/>
          </w:tcPr>
          <w:p>
            <w:pPr>
              <w:spacing w:after="0"/>
              <w:rPr>
                <w:sz w:val="1"/>
                <w:szCs w:val="1"/>
                <w:color w:val="auto"/>
              </w:rPr>
            </w:pPr>
          </w:p>
        </w:tc>
      </w:tr>
      <w:tr>
        <w:trPr>
          <w:trHeight w:val="157"/>
        </w:trPr>
        <w:tc>
          <w:tcPr>
            <w:tcW w:w="6820" w:type="dxa"/>
            <w:vAlign w:val="bottom"/>
            <w:gridSpan w:val="3"/>
          </w:tcPr>
          <w:p>
            <w:pPr>
              <w:spacing w:after="0"/>
              <w:rPr>
                <w:sz w:val="20"/>
                <w:szCs w:val="20"/>
                <w:color w:val="auto"/>
              </w:rPr>
            </w:pPr>
            <w:r>
              <w:rPr>
                <w:rFonts w:ascii="Arial" w:cs="Arial" w:eastAsia="Arial" w:hAnsi="Arial"/>
                <w:sz w:val="13"/>
                <w:szCs w:val="13"/>
                <w:color w:val="auto"/>
              </w:rPr>
              <w:t>Granted</w:t>
            </w:r>
          </w:p>
        </w:tc>
        <w:tc>
          <w:tcPr>
            <w:tcW w:w="280" w:type="dxa"/>
            <w:vAlign w:val="bottom"/>
          </w:tcPr>
          <w:p>
            <w:pPr>
              <w:jc w:val="right"/>
              <w:spacing w:after="0"/>
              <w:rPr>
                <w:sz w:val="20"/>
                <w:szCs w:val="20"/>
                <w:color w:val="auto"/>
              </w:rPr>
            </w:pPr>
            <w:r>
              <w:rPr>
                <w:rFonts w:ascii="Arial" w:cs="Arial" w:eastAsia="Arial" w:hAnsi="Arial"/>
                <w:sz w:val="13"/>
                <w:szCs w:val="13"/>
                <w:color w:val="auto"/>
              </w:rPr>
              <w:t>192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42.42</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152</w:t>
            </w:r>
          </w:p>
        </w:tc>
        <w:tc>
          <w:tcPr>
            <w:tcW w:w="6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46.47</w:t>
            </w:r>
          </w:p>
        </w:tc>
        <w:tc>
          <w:tcPr>
            <w:tcW w:w="0" w:type="dxa"/>
            <w:vAlign w:val="bottom"/>
          </w:tcPr>
          <w:p>
            <w:pPr>
              <w:spacing w:after="0"/>
              <w:rPr>
                <w:sz w:val="1"/>
                <w:szCs w:val="1"/>
                <w:color w:val="auto"/>
              </w:rPr>
            </w:pPr>
          </w:p>
        </w:tc>
      </w:tr>
      <w:tr>
        <w:trPr>
          <w:trHeight w:val="157"/>
        </w:trPr>
        <w:tc>
          <w:tcPr>
            <w:tcW w:w="68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Cancellations</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20" w:type="dxa"/>
            <w:vAlign w:val="bottom"/>
            <w:gridSpan w:val="3"/>
          </w:tcPr>
          <w:p>
            <w:pPr>
              <w:spacing w:after="0"/>
              <w:rPr>
                <w:sz w:val="20"/>
                <w:szCs w:val="20"/>
                <w:color w:val="auto"/>
              </w:rPr>
            </w:pPr>
            <w:r>
              <w:rPr>
                <w:rFonts w:ascii="Arial" w:cs="Arial" w:eastAsia="Arial" w:hAnsi="Arial"/>
                <w:sz w:val="13"/>
                <w:szCs w:val="13"/>
                <w:color w:val="auto"/>
              </w:rPr>
              <w:t>Released</w:t>
            </w:r>
          </w:p>
        </w:tc>
        <w:tc>
          <w:tcPr>
            <w:tcW w:w="660" w:type="dxa"/>
            <w:vAlign w:val="bottom"/>
            <w:gridSpan w:val="2"/>
          </w:tcPr>
          <w:p>
            <w:pPr>
              <w:jc w:val="right"/>
              <w:ind w:right="340"/>
              <w:spacing w:after="0"/>
              <w:rPr>
                <w:sz w:val="20"/>
                <w:szCs w:val="20"/>
                <w:color w:val="auto"/>
              </w:rPr>
            </w:pPr>
            <w:r>
              <w:rPr>
                <w:rFonts w:ascii="Arial" w:cs="Arial" w:eastAsia="Arial" w:hAnsi="Arial"/>
                <w:sz w:val="13"/>
                <w:szCs w:val="13"/>
                <w:color w:val="auto"/>
                <w:w w:val="98"/>
              </w:rPr>
              <w:t>(227)</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35.73</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44.37</w:t>
            </w:r>
          </w:p>
        </w:tc>
        <w:tc>
          <w:tcPr>
            <w:tcW w:w="0" w:type="dxa"/>
            <w:vAlign w:val="bottom"/>
          </w:tcPr>
          <w:p>
            <w:pPr>
              <w:spacing w:after="0"/>
              <w:rPr>
                <w:sz w:val="1"/>
                <w:szCs w:val="1"/>
                <w:color w:val="auto"/>
              </w:rPr>
            </w:pPr>
          </w:p>
        </w:tc>
      </w:tr>
      <w:tr>
        <w:trPr>
          <w:trHeight w:val="157"/>
        </w:trPr>
        <w:tc>
          <w:tcPr>
            <w:tcW w:w="6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 but not released</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(157)</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37.39</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34.98</w:t>
            </w: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40.74</w:t>
            </w:r>
          </w:p>
        </w:tc>
        <w:tc>
          <w:tcPr>
            <w:tcW w:w="0" w:type="dxa"/>
            <w:vAlign w:val="bottom"/>
          </w:tcPr>
          <w:p>
            <w:pPr>
              <w:spacing w:after="0" w:line="20" w:lineRule="exact"/>
              <w:rPr>
                <w:sz w:val="1"/>
                <w:szCs w:val="1"/>
                <w:color w:val="auto"/>
              </w:rPr>
            </w:pPr>
          </w:p>
        </w:tc>
      </w:tr>
      <w:tr>
        <w:trPr>
          <w:trHeight w:val="156"/>
        </w:trPr>
        <w:tc>
          <w:tcPr>
            <w:tcW w:w="6740" w:type="dxa"/>
            <w:vAlign w:val="bottom"/>
            <w:gridSpan w:val="2"/>
          </w:tcPr>
          <w:p>
            <w:pPr>
              <w:spacing w:after="0"/>
              <w:rPr>
                <w:sz w:val="20"/>
                <w:szCs w:val="20"/>
                <w:color w:val="auto"/>
              </w:rPr>
            </w:pPr>
            <w:r>
              <w:rPr>
                <w:rFonts w:ascii="Arial" w:cs="Arial" w:eastAsia="Arial" w:hAnsi="Arial"/>
                <w:sz w:val="13"/>
                <w:szCs w:val="13"/>
                <w:color w:val="auto"/>
              </w:rPr>
              <w:t>Unvested, December 31, 2010</w:t>
            </w: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413</w:t>
            </w:r>
          </w:p>
        </w:tc>
        <w:tc>
          <w:tcPr>
            <w:tcW w:w="3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277</w:t>
            </w:r>
          </w:p>
        </w:tc>
        <w:tc>
          <w:tcPr>
            <w:tcW w:w="6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recognized $13.5 million, $10.5 million and $25.5 million in expense related to such awards during the years ended December 31, 2010, 2009 and 2008, respectively.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total fair market value of shares vested in 2010, 2009 and 2008 was $11.5 million, $4.7 million and $25.5 million, respectively.</w:t>
      </w:r>
    </w:p>
    <w:p>
      <w:pPr>
        <w:spacing w:after="0" w:line="8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December 31, 2010, there was approximately $17.2 million of total unrecognized compensation costs related to unvested awards. These costs are expected to be recognized over a weighted-average period of approximately 2.2 years.</w:t>
      </w:r>
    </w:p>
    <w:p>
      <w:pPr>
        <w:spacing w:after="0" w:line="5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December 2000, the Company issued 1,250,000 Restricted Units under the 2000 Plan as a fully vested equity based bonus to the Company’s Chief Executive Officer (the “Executive”) in connection with the extension of his employment agreement. Each Restricted Unit represents the right to receive one share of the Company’s common stock. In January 2006, the Company released 750,000 shares of the Company’s common stock to the Executive pursuant to the obligations with respect to these Restricted Units, and in March 2008, the Company released the remaining 500,000 shares. In July 2004, the Company renewed the Executive’s employment agreement and the Executive received fully vested Restricted Units providing for the payment of 750,000 shares of Integra common stock which shall generally be delivered to the Executive following his termination of employment or retirement, or i) later under certain circumstances, ii) earlier if he is terminated without cause, or iii) if he leaves his position for good reason or upon a change of control or certain tax related events. In August 2008, the Company and the Executive renewed the Executive’s employment agreement through December 31, 2011. In connection with the renewal of the agreement, the Executive received fully vested Restricted Units providing for the payment of 375,000 shares of Integra common stock which shall be delivered to the Executive within the 30-day period immediately following the six month anniversary of his separation of service from the Company. As the Restricted Units vested on the grant date, a charge of approximately $18.0 million was recognized upon issuance, which was included in selling, general and administrative expenses. The Restricted Units granted in 2004 and 2008 were granted under the 2003 Plan and, as of December 31, 2010, the related shares have not been issued. The Executive has demand registration rights under the Restricted Unit grants.</w:t>
      </w:r>
    </w:p>
    <w:p>
      <w:pPr>
        <w:spacing w:after="0" w:line="6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At December 31, 2010, in addition to the Restricted Units discussed above, there are approximately 300,000 additional vested Restricted Units held by various employees for which the related shares have not yet been issued. Included in this amount are 34,868 shares issued in October 2010 in connection with the Company’s hiring of a new President and Chief Operating Officer for which the Company expensed $1.5 million as these shares were fully vested.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December 31, 2010, there were 2,119,988 shares available for grant under the Plans.</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PLANS</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Company recognizes the overfunded or underfunded status of a defined benefit postretirement plan as an asset or liability in its statement of financial position and to recognize changes in that funded status in the year in which the changes occur through comprehensive income. The Company currently recognizes the unfunded liability for each of its plans. Therefore, the implementation of this statement had no effect on the financial statements upon its adoption.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DEFINED BENEFIT PLANS</w:t>
      </w:r>
    </w:p>
    <w:p>
      <w:pPr>
        <w:spacing w:after="0" w:line="96" w:lineRule="exact"/>
        <w:rPr>
          <w:sz w:val="20"/>
          <w:szCs w:val="20"/>
          <w:color w:val="auto"/>
        </w:rPr>
      </w:pPr>
    </w:p>
    <w:p>
      <w:pPr>
        <w:ind w:left="680" w:right="60" w:firstLine="399"/>
        <w:spacing w:after="0" w:line="277" w:lineRule="auto"/>
        <w:rPr>
          <w:sz w:val="20"/>
          <w:szCs w:val="20"/>
          <w:color w:val="auto"/>
        </w:rPr>
      </w:pPr>
      <w:r>
        <w:rPr>
          <w:rFonts w:ascii="Arial" w:cs="Arial" w:eastAsia="Arial" w:hAnsi="Arial"/>
          <w:sz w:val="12"/>
          <w:szCs w:val="12"/>
          <w:color w:val="auto"/>
        </w:rPr>
        <w:t>The Company maintains defined benefit pension plans that cover employees in its manufacturing plants located in Andover, United Kingdom (the “UK Plan”) and Tuttlingen, Germany (the “Germany Plan”). The plan covering employees in the manufacturing plant located in York, Pennsylvania (the “Miltex Plan”) was frozen and all future benefits were curtailed prior to the acquisition of Miltex by the Company. During 2008, the Miltex Plan was terminated with all distributions made to participants. The Company recognized approximately</w:t>
      </w:r>
    </w:p>
    <w:p>
      <w:pPr>
        <w:spacing w:after="0" w:line="1" w:lineRule="exact"/>
        <w:rPr>
          <w:sz w:val="20"/>
          <w:szCs w:val="20"/>
          <w:color w:val="auto"/>
        </w:rPr>
      </w:pPr>
    </w:p>
    <w:p>
      <w:pPr>
        <w:ind w:left="680" w:right="100"/>
        <w:spacing w:after="0" w:line="327" w:lineRule="auto"/>
        <w:rPr>
          <w:sz w:val="20"/>
          <w:szCs w:val="20"/>
          <w:color w:val="auto"/>
        </w:rPr>
      </w:pPr>
      <w:r>
        <w:rPr>
          <w:rFonts w:ascii="Arial" w:cs="Arial" w:eastAsia="Arial" w:hAnsi="Arial"/>
          <w:sz w:val="11"/>
          <w:szCs w:val="11"/>
          <w:color w:val="auto"/>
        </w:rPr>
        <w:t>$0.4 million in additional costs to fund these distributions. Accordingly, the Miltex Plan had no assets or liabilities remaining at December 31, 2010 and 2009. The Company closed the Tuttlingen, Germany plant in December 2005. However, the Germany Plan was not terminated and the Company remains obligated for the accrued pension benefits related to this plan. The plans cover certain current and former employees. The plans are no longer open to new participants. The Company uses a December 31 measurement date for all of its pension plans.</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periodic benefit costs for these defined benefit pension plans included the following amounts: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Years Ended December 31,</w:t>
            </w: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20"/>
              <w:spacing w:after="0" w:line="98" w:lineRule="exact"/>
              <w:rPr>
                <w:sz w:val="20"/>
                <w:szCs w:val="20"/>
                <w:color w:val="auto"/>
              </w:rPr>
            </w:pPr>
            <w:r>
              <w:rPr>
                <w:rFonts w:ascii="Arial" w:cs="Arial" w:eastAsia="Arial" w:hAnsi="Arial"/>
                <w:sz w:val="10"/>
                <w:szCs w:val="10"/>
                <w:b w:val="1"/>
                <w:bCs w:val="1"/>
                <w:color w:val="auto"/>
                <w:w w:val="89"/>
              </w:rPr>
              <w:t>2010</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21"/>
              <w:spacing w:after="0" w:line="98" w:lineRule="exact"/>
              <w:rPr>
                <w:sz w:val="20"/>
                <w:szCs w:val="20"/>
                <w:color w:val="auto"/>
              </w:rPr>
            </w:pPr>
            <w:r>
              <w:rPr>
                <w:rFonts w:ascii="Arial" w:cs="Arial" w:eastAsia="Arial" w:hAnsi="Arial"/>
                <w:sz w:val="10"/>
                <w:szCs w:val="10"/>
                <w:b w:val="1"/>
                <w:bCs w:val="1"/>
                <w:color w:val="auto"/>
                <w:w w:val="89"/>
              </w:rPr>
              <w:t>2009</w:t>
            </w: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81"/>
        </w:trPr>
        <w:tc>
          <w:tcPr>
            <w:tcW w:w="6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Non U.S.</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Non U.S.</w:t>
            </w:r>
          </w:p>
        </w:tc>
        <w:tc>
          <w:tcPr>
            <w:tcW w:w="380" w:type="dxa"/>
            <w:vAlign w:val="bottom"/>
          </w:tcPr>
          <w:p>
            <w:pPr>
              <w:spacing w:after="0"/>
              <w:rPr>
                <w:sz w:val="7"/>
                <w:szCs w:val="7"/>
                <w:color w:val="auto"/>
              </w:rPr>
            </w:pPr>
          </w:p>
        </w:tc>
        <w:tc>
          <w:tcPr>
            <w:tcW w:w="38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U.S.</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Non U.S.</w:t>
            </w:r>
          </w:p>
        </w:tc>
        <w:tc>
          <w:tcPr>
            <w:tcW w:w="100" w:type="dxa"/>
            <w:vAlign w:val="bottom"/>
          </w:tcPr>
          <w:p>
            <w:pPr>
              <w:spacing w:after="0"/>
              <w:rPr>
                <w:sz w:val="7"/>
                <w:szCs w:val="7"/>
                <w:color w:val="auto"/>
              </w:rPr>
            </w:pPr>
          </w:p>
        </w:tc>
      </w:tr>
      <w:tr>
        <w:trPr>
          <w:trHeight w:val="125"/>
        </w:trPr>
        <w:tc>
          <w:tcPr>
            <w:tcW w:w="6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Plans</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Plans</w:t>
            </w:r>
          </w:p>
        </w:tc>
        <w:tc>
          <w:tcPr>
            <w:tcW w:w="380" w:type="dxa"/>
            <w:vAlign w:val="bottom"/>
          </w:tcPr>
          <w:p>
            <w:pPr>
              <w:spacing w:after="0"/>
              <w:rPr>
                <w:sz w:val="10"/>
                <w:szCs w:val="1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4"/>
              </w:rPr>
              <w:t>Plan</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7"/>
              </w:rPr>
              <w:t>Plans</w:t>
            </w:r>
          </w:p>
        </w:tc>
        <w:tc>
          <w:tcPr>
            <w:tcW w:w="100" w:type="dxa"/>
            <w:vAlign w:val="bottom"/>
          </w:tcPr>
          <w:p>
            <w:pPr>
              <w:spacing w:after="0"/>
              <w:rPr>
                <w:sz w:val="10"/>
                <w:szCs w:val="10"/>
                <w:color w:val="auto"/>
              </w:rPr>
            </w:pPr>
          </w:p>
        </w:tc>
      </w:tr>
      <w:tr>
        <w:trPr>
          <w:trHeight w:val="131"/>
        </w:trPr>
        <w:tc>
          <w:tcPr>
            <w:tcW w:w="6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(In thousands)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2"/>
              </w:rPr>
              <w:t>$ —</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Interest cost</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645</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605</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14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718</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(413)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(493)</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Recognized net actuarial loss</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307</w:t>
            </w:r>
          </w:p>
        </w:tc>
        <w:tc>
          <w:tcPr>
            <w:tcW w:w="38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553</w:t>
            </w:r>
          </w:p>
        </w:tc>
      </w:tr>
      <w:tr>
        <w:trPr>
          <w:trHeight w:val="20"/>
        </w:trPr>
        <w:tc>
          <w:tcPr>
            <w:tcW w:w="6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periodic benefit cost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3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6"/>
              </w:rPr>
              <w:t>$ 14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919</w:t>
            </w:r>
          </w:p>
        </w:tc>
      </w:tr>
      <w:tr>
        <w:trPr>
          <w:trHeight w:val="29"/>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weighted average assumptions were used to develop net periodic pension benefit cost and the actuarial present value of projected pension benefit obligations: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4"/>
              </w:rPr>
              <w:t>Years Ended December 31,</w:t>
            </w: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7280" w:type="dxa"/>
            <w:vAlign w:val="bottom"/>
          </w:tcPr>
          <w:p>
            <w:pPr>
              <w:spacing w:after="0"/>
              <w:rPr>
                <w:sz w:val="8"/>
                <w:szCs w:val="8"/>
                <w:color w:val="auto"/>
              </w:rPr>
            </w:pPr>
          </w:p>
        </w:tc>
        <w:tc>
          <w:tcPr>
            <w:tcW w:w="5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2010</w:t>
            </w:r>
          </w:p>
        </w:tc>
        <w:tc>
          <w:tcPr>
            <w:tcW w:w="420" w:type="dxa"/>
            <w:vAlign w:val="bottom"/>
          </w:tcPr>
          <w:p>
            <w:pPr>
              <w:spacing w:after="0"/>
              <w:rPr>
                <w:sz w:val="8"/>
                <w:szCs w:val="8"/>
                <w:color w:val="auto"/>
              </w:rPr>
            </w:pPr>
          </w:p>
        </w:tc>
        <w:tc>
          <w:tcPr>
            <w:tcW w:w="5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2009</w:t>
            </w:r>
          </w:p>
        </w:tc>
        <w:tc>
          <w:tcPr>
            <w:tcW w:w="420" w:type="dxa"/>
            <w:vAlign w:val="bottom"/>
          </w:tcPr>
          <w:p>
            <w:pPr>
              <w:spacing w:after="0"/>
              <w:rPr>
                <w:sz w:val="8"/>
                <w:szCs w:val="8"/>
                <w:color w:val="auto"/>
              </w:rPr>
            </w:pPr>
          </w:p>
        </w:tc>
        <w:tc>
          <w:tcPr>
            <w:tcW w:w="5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2008</w:t>
            </w:r>
          </w:p>
        </w:tc>
        <w:tc>
          <w:tcPr>
            <w:tcW w:w="120" w:type="dxa"/>
            <w:vAlign w:val="bottom"/>
          </w:tcPr>
          <w:p>
            <w:pPr>
              <w:spacing w:after="0"/>
              <w:rPr>
                <w:sz w:val="8"/>
                <w:szCs w:val="8"/>
                <w:color w:val="auto"/>
              </w:rPr>
            </w:pPr>
          </w:p>
        </w:tc>
      </w:tr>
      <w:tr>
        <w:trPr>
          <w:trHeight w:val="81"/>
        </w:trPr>
        <w:tc>
          <w:tcPr>
            <w:tcW w:w="728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Non U.S.</w:t>
            </w:r>
          </w:p>
        </w:tc>
        <w:tc>
          <w:tcPr>
            <w:tcW w:w="42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Non U.S.</w:t>
            </w:r>
          </w:p>
        </w:tc>
        <w:tc>
          <w:tcPr>
            <w:tcW w:w="42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Non U.S.</w:t>
            </w:r>
          </w:p>
        </w:tc>
        <w:tc>
          <w:tcPr>
            <w:tcW w:w="120" w:type="dxa"/>
            <w:vAlign w:val="bottom"/>
          </w:tcPr>
          <w:p>
            <w:pPr>
              <w:spacing w:after="0"/>
              <w:rPr>
                <w:sz w:val="7"/>
                <w:szCs w:val="7"/>
                <w:color w:val="auto"/>
              </w:rPr>
            </w:pPr>
          </w:p>
        </w:tc>
      </w:tr>
      <w:tr>
        <w:trPr>
          <w:trHeight w:val="125"/>
        </w:trPr>
        <w:tc>
          <w:tcPr>
            <w:tcW w:w="7280" w:type="dxa"/>
            <w:vAlign w:val="bottom"/>
          </w:tcPr>
          <w:p>
            <w:pPr>
              <w:spacing w:after="0"/>
              <w:rPr>
                <w:sz w:val="10"/>
                <w:szCs w:val="10"/>
                <w:color w:val="auto"/>
              </w:rPr>
            </w:pPr>
          </w:p>
        </w:tc>
        <w:tc>
          <w:tcPr>
            <w:tcW w:w="1000" w:type="dxa"/>
            <w:vAlign w:val="bottom"/>
            <w:gridSpan w:val="2"/>
          </w:tcPr>
          <w:p>
            <w:pPr>
              <w:jc w:val="center"/>
              <w:ind w:right="388"/>
              <w:spacing w:after="0"/>
              <w:rPr>
                <w:sz w:val="20"/>
                <w:szCs w:val="20"/>
                <w:color w:val="auto"/>
              </w:rPr>
            </w:pPr>
            <w:r>
              <w:rPr>
                <w:rFonts w:ascii="Arial" w:cs="Arial" w:eastAsia="Arial" w:hAnsi="Arial"/>
                <w:sz w:val="10"/>
                <w:szCs w:val="10"/>
                <w:b w:val="1"/>
                <w:bCs w:val="1"/>
                <w:color w:val="auto"/>
                <w:w w:val="89"/>
              </w:rPr>
              <w:t>Plans</w:t>
            </w:r>
          </w:p>
        </w:tc>
        <w:tc>
          <w:tcPr>
            <w:tcW w:w="10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7"/>
              </w:rPr>
              <w:t>Plans</w:t>
            </w:r>
          </w:p>
        </w:tc>
        <w:tc>
          <w:tcPr>
            <w:tcW w:w="7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Plans</w:t>
            </w:r>
          </w:p>
        </w:tc>
      </w:tr>
      <w:tr>
        <w:trPr>
          <w:trHeight w:val="29"/>
        </w:trPr>
        <w:tc>
          <w:tcPr>
            <w:tcW w:w="72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28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5.4%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157"/>
        </w:trPr>
        <w:tc>
          <w:tcPr>
            <w:tcW w:w="7280" w:type="dxa"/>
            <w:vAlign w:val="bottom"/>
          </w:tcPr>
          <w:p>
            <w:pPr>
              <w:spacing w:after="0"/>
              <w:rPr>
                <w:sz w:val="20"/>
                <w:szCs w:val="20"/>
                <w:color w:val="auto"/>
              </w:rPr>
            </w:pPr>
            <w:r>
              <w:rPr>
                <w:rFonts w:ascii="Arial" w:cs="Arial" w:eastAsia="Arial" w:hAnsi="Arial"/>
                <w:sz w:val="13"/>
                <w:szCs w:val="13"/>
                <w:color w:val="auto"/>
              </w:rPr>
              <w:t>Expected return on plan assets</w:t>
            </w:r>
          </w:p>
        </w:tc>
        <w:tc>
          <w:tcPr>
            <w:tcW w:w="1000" w:type="dxa"/>
            <w:vAlign w:val="bottom"/>
            <w:gridSpan w:val="2"/>
          </w:tcPr>
          <w:p>
            <w:pPr>
              <w:jc w:val="right"/>
              <w:ind w:right="248"/>
              <w:spacing w:after="0"/>
              <w:rPr>
                <w:sz w:val="20"/>
                <w:szCs w:val="20"/>
                <w:color w:val="auto"/>
              </w:rPr>
            </w:pPr>
            <w:r>
              <w:rPr>
                <w:rFonts w:ascii="Arial" w:cs="Arial" w:eastAsia="Arial" w:hAnsi="Arial"/>
                <w:sz w:val="13"/>
                <w:szCs w:val="13"/>
                <w:color w:val="auto"/>
              </w:rPr>
              <w:t>5.2%</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7280" w:type="dxa"/>
            <w:vAlign w:val="bottom"/>
            <w:shd w:val="clear" w:color="auto" w:fill="CCEEFF"/>
          </w:tcPr>
          <w:p>
            <w:pPr>
              <w:spacing w:after="0"/>
              <w:rPr>
                <w:sz w:val="20"/>
                <w:szCs w:val="20"/>
                <w:color w:val="auto"/>
              </w:rPr>
            </w:pPr>
            <w:r>
              <w:rPr>
                <w:rFonts w:ascii="Arial" w:cs="Arial" w:eastAsia="Arial" w:hAnsi="Arial"/>
                <w:sz w:val="13"/>
                <w:szCs w:val="13"/>
                <w:color w:val="auto"/>
              </w:rPr>
              <w:t>Rate of compensation increase</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r>
    </w:tbl>
    <w:p>
      <w:pPr>
        <w:spacing w:after="0" w:line="8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expected return on plan assets represents the average rate of return expected to be earned on plan assets over the period the benefits included in the benefit obligation are to be paid. In developing the expected rate of return, the Company considers long-term compound annualized returns of historical market data as well as actual returns on the plan assets and applies adjustments that reflect more recent capital market experience. Using this reference information, the long-term return expectations for each asset category are developed according to the allocation among those investment categories. In 2010 and 2009, the discount rate was prescribed as the current yield on corporate bonds with an average rating of AA of equivalent currency and term to the liabilities. In 2008, the</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discount rate was prescribed as the current yield on corporate bonds with an average rating of AAA of equivalent currency and term to the liabilities.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sets forth the change in projected benefit obligations and the change in plan assets for the years ended December 31, 2010 and 2009 and a reconciliation of the funded status at December 31, 2010 and 2009:</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0"/>
                <w:szCs w:val="10"/>
                <w:b w:val="1"/>
                <w:bCs w:val="1"/>
                <w:color w:val="auto"/>
              </w:rPr>
              <w:t>December 31,</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3"/>
          </w:tcPr>
          <w:p>
            <w:pPr>
              <w:ind w:left="120"/>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center"/>
              <w:ind w:right="97"/>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r>
      <w:tr>
        <w:trPr>
          <w:trHeight w:val="81"/>
        </w:trPr>
        <w:tc>
          <w:tcPr>
            <w:tcW w:w="8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tcPr>
          <w:p>
            <w:pPr>
              <w:jc w:val="center"/>
              <w:ind w:right="18"/>
              <w:spacing w:after="0" w:line="81" w:lineRule="exact"/>
              <w:rPr>
                <w:sz w:val="20"/>
                <w:szCs w:val="20"/>
                <w:color w:val="auto"/>
              </w:rPr>
            </w:pPr>
            <w:r>
              <w:rPr>
                <w:rFonts w:ascii="Arial" w:cs="Arial" w:eastAsia="Arial" w:hAnsi="Arial"/>
                <w:sz w:val="9"/>
                <w:szCs w:val="9"/>
                <w:b w:val="1"/>
                <w:bCs w:val="1"/>
                <w:color w:val="auto"/>
              </w:rPr>
              <w:t>Non-U.S.</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Non-U.S.</w:t>
            </w:r>
          </w:p>
        </w:tc>
        <w:tc>
          <w:tcPr>
            <w:tcW w:w="100" w:type="dxa"/>
            <w:vAlign w:val="bottom"/>
          </w:tcPr>
          <w:p>
            <w:pPr>
              <w:spacing w:after="0"/>
              <w:rPr>
                <w:sz w:val="7"/>
                <w:szCs w:val="7"/>
                <w:color w:val="auto"/>
              </w:rPr>
            </w:pPr>
          </w:p>
        </w:tc>
      </w:tr>
      <w:tr>
        <w:trPr>
          <w:trHeight w:val="125"/>
        </w:trPr>
        <w:tc>
          <w:tcPr>
            <w:tcW w:w="8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3"/>
          </w:tcPr>
          <w:p>
            <w:pPr>
              <w:jc w:val="center"/>
              <w:ind w:right="18"/>
              <w:spacing w:after="0"/>
              <w:rPr>
                <w:sz w:val="20"/>
                <w:szCs w:val="20"/>
                <w:color w:val="auto"/>
              </w:rPr>
            </w:pPr>
            <w:r>
              <w:rPr>
                <w:rFonts w:ascii="Arial" w:cs="Arial" w:eastAsia="Arial" w:hAnsi="Arial"/>
                <w:sz w:val="10"/>
                <w:szCs w:val="10"/>
                <w:b w:val="1"/>
                <w:bCs w:val="1"/>
                <w:color w:val="auto"/>
                <w:w w:val="89"/>
              </w:rPr>
              <w:t>Plans</w:t>
            </w:r>
          </w:p>
        </w:tc>
        <w:tc>
          <w:tcPr>
            <w:tcW w:w="400" w:type="dxa"/>
            <w:vAlign w:val="bottom"/>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97"/>
              <w:spacing w:after="0"/>
              <w:rPr>
                <w:sz w:val="20"/>
                <w:szCs w:val="20"/>
                <w:color w:val="auto"/>
              </w:rPr>
            </w:pPr>
            <w:r>
              <w:rPr>
                <w:rFonts w:ascii="Arial" w:cs="Arial" w:eastAsia="Arial" w:hAnsi="Arial"/>
                <w:sz w:val="10"/>
                <w:szCs w:val="10"/>
                <w:b w:val="1"/>
                <w:bCs w:val="1"/>
                <w:color w:val="auto"/>
                <w:w w:val="97"/>
              </w:rPr>
              <w:t>Plans</w:t>
            </w:r>
          </w:p>
        </w:tc>
        <w:tc>
          <w:tcPr>
            <w:tcW w:w="100" w:type="dxa"/>
            <w:vAlign w:val="bottom"/>
          </w:tcPr>
          <w:p>
            <w:pPr>
              <w:spacing w:after="0"/>
              <w:rPr>
                <w:sz w:val="10"/>
                <w:szCs w:val="10"/>
                <w:color w:val="auto"/>
              </w:rPr>
            </w:pPr>
          </w:p>
        </w:tc>
      </w:tr>
      <w:tr>
        <w:trPr>
          <w:trHeight w:val="131"/>
        </w:trPr>
        <w:tc>
          <w:tcPr>
            <w:tcW w:w="8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ind w:left="200"/>
              <w:spacing w:after="0"/>
              <w:rPr>
                <w:sz w:val="20"/>
                <w:szCs w:val="20"/>
                <w:color w:val="auto"/>
              </w:rPr>
            </w:pPr>
            <w:r>
              <w:rPr>
                <w:rFonts w:ascii="Arial" w:cs="Arial" w:eastAsia="Arial" w:hAnsi="Arial"/>
                <w:sz w:val="10"/>
                <w:szCs w:val="10"/>
                <w:b w:val="1"/>
                <w:bCs w:val="1"/>
                <w:color w:val="auto"/>
                <w:w w:val="81"/>
              </w:rPr>
              <w:t>(In</w:t>
            </w:r>
          </w:p>
        </w:tc>
        <w:tc>
          <w:tcPr>
            <w:tcW w:w="560" w:type="dxa"/>
            <w:vAlign w:val="bottom"/>
            <w:gridSpan w:val="3"/>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CHANGE IN PROJECTED BENEFIT OBLIGATION</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Projected benefit obligation, beginning of year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4"/>
          </w:tcPr>
          <w:p>
            <w:pPr>
              <w:jc w:val="right"/>
              <w:ind w:right="48"/>
              <w:spacing w:after="0"/>
              <w:rPr>
                <w:sz w:val="20"/>
                <w:szCs w:val="20"/>
                <w:color w:val="auto"/>
              </w:rPr>
            </w:pPr>
            <w:r>
              <w:rPr>
                <w:rFonts w:ascii="Arial" w:cs="Arial" w:eastAsia="Arial" w:hAnsi="Arial"/>
                <w:sz w:val="13"/>
                <w:szCs w:val="13"/>
                <w:color w:val="auto"/>
              </w:rPr>
              <w:t>11,550</w:t>
            </w:r>
          </w:p>
        </w:tc>
        <w:tc>
          <w:tcPr>
            <w:tcW w:w="30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9,616</w:t>
            </w: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93</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w:t>
            </w: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645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605</w:t>
            </w: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Participant contributions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17</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Benefits paid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3"/>
                <w:szCs w:val="13"/>
                <w:color w:val="auto"/>
              </w:rPr>
              <w:t>(464)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(481)</w:t>
            </w: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Actuarial loss (gain)</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551</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712</w:t>
            </w: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Effect of foreign currency exchange rates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3"/>
                <w:szCs w:val="13"/>
                <w:color w:val="auto"/>
              </w:rPr>
              <w:t>(350)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955</w:t>
            </w:r>
          </w:p>
        </w:tc>
      </w:tr>
      <w:tr>
        <w:trPr>
          <w:trHeight w:val="20"/>
        </w:trPr>
        <w:tc>
          <w:tcPr>
            <w:tcW w:w="8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Projected benefit obligation,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12,042</w:t>
            </w:r>
          </w:p>
        </w:tc>
        <w:tc>
          <w:tcPr>
            <w:tcW w:w="3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11,550</w:t>
            </w:r>
          </w:p>
        </w:tc>
      </w:tr>
      <w:tr>
        <w:trPr>
          <w:trHeight w:val="166"/>
        </w:trPr>
        <w:tc>
          <w:tcPr>
            <w:tcW w:w="8300" w:type="dxa"/>
            <w:vAlign w:val="bottom"/>
          </w:tcPr>
          <w:p>
            <w:pPr>
              <w:spacing w:after="0"/>
              <w:rPr>
                <w:sz w:val="20"/>
                <w:szCs w:val="20"/>
                <w:color w:val="auto"/>
              </w:rPr>
            </w:pPr>
            <w:r>
              <w:rPr>
                <w:rFonts w:ascii="Arial" w:cs="Arial" w:eastAsia="Arial" w:hAnsi="Arial"/>
                <w:sz w:val="13"/>
                <w:szCs w:val="13"/>
                <w:color w:val="auto"/>
              </w:rPr>
              <w:t>CHANGE IN PLAN ASSETS</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 assets at fair value,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9,302</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7,433</w:t>
            </w: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Actual return on plan assets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1,070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1,129</w:t>
            </w: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Employer contributions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1,157</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409</w:t>
            </w: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Participant contributions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17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22</w:t>
            </w: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Benefits paid</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(444)</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(454)</w:t>
            </w: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Effect of foreign currency exchange rates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3"/>
                <w:szCs w:val="13"/>
                <w:color w:val="auto"/>
              </w:rPr>
              <w:t>(268)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763</w:t>
            </w:r>
          </w:p>
        </w:tc>
      </w:tr>
      <w:tr>
        <w:trPr>
          <w:trHeight w:val="20"/>
        </w:trPr>
        <w:tc>
          <w:tcPr>
            <w:tcW w:w="8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 assets at fair value,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10,834</w:t>
            </w:r>
          </w:p>
        </w:tc>
        <w:tc>
          <w:tcPr>
            <w:tcW w:w="3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9,302</w:t>
            </w:r>
          </w:p>
        </w:tc>
      </w:tr>
      <w:tr>
        <w:trPr>
          <w:trHeight w:val="29"/>
        </w:trPr>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6"/>
          </w:tcPr>
          <w:p>
            <w:pPr>
              <w:jc w:val="right"/>
              <w:ind w:right="480"/>
              <w:spacing w:after="0"/>
              <w:rPr>
                <w:sz w:val="20"/>
                <w:szCs w:val="20"/>
                <w:color w:val="auto"/>
              </w:rPr>
            </w:pPr>
            <w:r>
              <w:rPr>
                <w:rFonts w:ascii="Arial" w:cs="Arial" w:eastAsia="Arial" w:hAnsi="Arial"/>
                <w:sz w:val="10"/>
                <w:szCs w:val="10"/>
                <w:b w:val="1"/>
                <w:bCs w:val="1"/>
                <w:color w:val="auto"/>
              </w:rPr>
              <w:t>December 31,</w:t>
            </w:r>
          </w:p>
        </w:tc>
      </w:tr>
      <w:tr>
        <w:trPr>
          <w:trHeight w:val="98"/>
        </w:trPr>
        <w:tc>
          <w:tcPr>
            <w:tcW w:w="8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r>
      <w:tr>
        <w:trPr>
          <w:trHeight w:val="81"/>
        </w:trPr>
        <w:tc>
          <w:tcPr>
            <w:tcW w:w="8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Non-U.S.</w:t>
            </w: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Non-U.S.</w:t>
            </w:r>
          </w:p>
        </w:tc>
        <w:tc>
          <w:tcPr>
            <w:tcW w:w="100" w:type="dxa"/>
            <w:vAlign w:val="bottom"/>
          </w:tcPr>
          <w:p>
            <w:pPr>
              <w:spacing w:after="0"/>
              <w:rPr>
                <w:sz w:val="7"/>
                <w:szCs w:val="7"/>
                <w:color w:val="auto"/>
              </w:rPr>
            </w:pPr>
          </w:p>
        </w:tc>
      </w:tr>
      <w:tr>
        <w:trPr>
          <w:trHeight w:val="125"/>
        </w:trPr>
        <w:tc>
          <w:tcPr>
            <w:tcW w:w="8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0"/>
                <w:szCs w:val="10"/>
                <w:b w:val="1"/>
                <w:bCs w:val="1"/>
                <w:color w:val="auto"/>
                <w:w w:val="97"/>
              </w:rPr>
              <w:t>Plans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Plans</w:t>
            </w:r>
          </w:p>
        </w:tc>
        <w:tc>
          <w:tcPr>
            <w:tcW w:w="100" w:type="dxa"/>
            <w:vAlign w:val="bottom"/>
          </w:tcPr>
          <w:p>
            <w:pPr>
              <w:spacing w:after="0"/>
              <w:rPr>
                <w:sz w:val="10"/>
                <w:szCs w:val="10"/>
                <w:color w:val="auto"/>
              </w:rPr>
            </w:pPr>
          </w:p>
        </w:tc>
      </w:tr>
      <w:tr>
        <w:trPr>
          <w:trHeight w:val="131"/>
        </w:trPr>
        <w:tc>
          <w:tcPr>
            <w:tcW w:w="8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0"/>
                <w:szCs w:val="10"/>
                <w:b w:val="1"/>
                <w:bCs w:val="1"/>
                <w:color w:val="auto"/>
              </w:rPr>
              <w:t>(In</w:t>
            </w:r>
          </w:p>
        </w:tc>
        <w:tc>
          <w:tcPr>
            <w:tcW w:w="880" w:type="dxa"/>
            <w:vAlign w:val="bottom"/>
            <w:gridSpan w:val="3"/>
          </w:tcPr>
          <w:p>
            <w:pPr>
              <w:jc w:val="right"/>
              <w:ind w:right="297"/>
              <w:spacing w:after="0"/>
              <w:rPr>
                <w:sz w:val="20"/>
                <w:szCs w:val="20"/>
                <w:color w:val="auto"/>
              </w:rPr>
            </w:pPr>
            <w:r>
              <w:rPr>
                <w:rFonts w:ascii="Arial" w:cs="Arial" w:eastAsia="Arial" w:hAnsi="Arial"/>
                <w:sz w:val="10"/>
                <w:szCs w:val="10"/>
                <w:b w:val="1"/>
                <w:bCs w:val="1"/>
                <w:color w:val="auto"/>
                <w:w w:val="92"/>
              </w:rPr>
              <w:t>thousands)</w:t>
            </w:r>
          </w:p>
        </w:tc>
        <w:tc>
          <w:tcPr>
            <w:tcW w:w="100" w:type="dxa"/>
            <w:vAlign w:val="bottom"/>
          </w:tcPr>
          <w:p>
            <w:pPr>
              <w:spacing w:after="0"/>
              <w:rPr>
                <w:sz w:val="11"/>
                <w:szCs w:val="11"/>
                <w:color w:val="auto"/>
              </w:rPr>
            </w:pPr>
          </w:p>
        </w:tc>
      </w:tr>
      <w:tr>
        <w:trPr>
          <w:trHeight w:val="163"/>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RECONCILIATION OF FUNDED STATUS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Funded status, projected benefit obligation in excess of plan assets</w:t>
            </w:r>
          </w:p>
        </w:tc>
        <w:tc>
          <w:tcPr>
            <w:tcW w:w="80" w:type="dxa"/>
            <w:vAlign w:val="bottom"/>
          </w:tcPr>
          <w:p>
            <w:pPr>
              <w:spacing w:after="0"/>
              <w:rPr>
                <w:sz w:val="13"/>
                <w:szCs w:val="13"/>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gridSpan w:val="3"/>
          </w:tcPr>
          <w:p>
            <w:pPr>
              <w:jc w:val="right"/>
              <w:ind w:right="208"/>
              <w:spacing w:after="0"/>
              <w:rPr>
                <w:sz w:val="20"/>
                <w:szCs w:val="20"/>
                <w:color w:val="auto"/>
              </w:rPr>
            </w:pPr>
            <w:r>
              <w:rPr>
                <w:rFonts w:ascii="Arial" w:cs="Arial" w:eastAsia="Arial" w:hAnsi="Arial"/>
                <w:sz w:val="13"/>
                <w:szCs w:val="13"/>
                <w:color w:val="auto"/>
              </w:rPr>
              <w:t>(1,208)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(2,248)</w:t>
            </w: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Unrecognized net actuarial loss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1,061</w:t>
            </w:r>
          </w:p>
        </w:tc>
        <w:tc>
          <w:tcPr>
            <w:tcW w:w="1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1,190</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Accumulated other comprehensive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208"/>
              <w:spacing w:after="0"/>
              <w:rPr>
                <w:sz w:val="20"/>
                <w:szCs w:val="20"/>
                <w:color w:val="auto"/>
              </w:rPr>
            </w:pPr>
            <w:r>
              <w:rPr>
                <w:rFonts w:ascii="Arial" w:cs="Arial" w:eastAsia="Arial" w:hAnsi="Arial"/>
                <w:sz w:val="13"/>
                <w:szCs w:val="13"/>
                <w:color w:val="auto"/>
              </w:rPr>
              <w:t>(1,061)</w:t>
            </w: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(1,190)</w:t>
            </w:r>
          </w:p>
        </w:tc>
      </w:tr>
      <w:tr>
        <w:trPr>
          <w:trHeight w:val="20"/>
        </w:trPr>
        <w:tc>
          <w:tcPr>
            <w:tcW w:w="8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Amounts recognized</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(1,208)</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(2,248)</w:t>
            </w:r>
          </w:p>
        </w:tc>
      </w:tr>
      <w:tr>
        <w:trPr>
          <w:trHeight w:val="29"/>
        </w:trPr>
        <w:tc>
          <w:tcPr>
            <w:tcW w:w="8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accrued benefit liability recorded at December 31, 2010 and 2009 is included in other liabilities, and the current portion is included in accrued expenses.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combined accumulated benefit obligation for the defined benefit plans was $11.9 million and $11.5 million as of December 31, 2010 and 2009, respectively. The accumulated benefit obligation for each plan exceeded that plan’s assets for all periods presented.</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investment strategy for the Company’s defined benefit plans is both to meet the liabilities of the plans as they fall due and to maximize the return on invested assets within appropriate risk tolerances. The U.K. Plan invests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60"/>
        <w:spacing w:after="0" w:line="276" w:lineRule="auto"/>
        <w:rPr>
          <w:sz w:val="20"/>
          <w:szCs w:val="20"/>
          <w:color w:val="auto"/>
        </w:rPr>
      </w:pPr>
      <w:r>
        <w:rPr>
          <w:rFonts w:ascii="Arial" w:cs="Arial" w:eastAsia="Arial" w:hAnsi="Arial"/>
          <w:sz w:val="13"/>
          <w:szCs w:val="13"/>
          <w:color w:val="auto"/>
        </w:rPr>
        <w:t>in pooled funds which provide a diversification that supports the overall investment objectives. Neither the Miltex nor Germany Plans had any assets at December 31, 2010 or December 31,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Based on the assets which comprise each of the funds, the weighted-average allocation of plan assets by asset category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80" w:type="dxa"/>
            <w:vAlign w:val="bottom"/>
          </w:tcPr>
          <w:p>
            <w:pPr>
              <w:spacing w:after="0"/>
              <w:rPr>
                <w:sz w:val="10"/>
                <w:szCs w:val="10"/>
                <w:color w:val="auto"/>
              </w:rPr>
            </w:pPr>
          </w:p>
        </w:tc>
        <w:tc>
          <w:tcPr>
            <w:tcW w:w="170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December 31,</w:t>
            </w:r>
          </w:p>
        </w:tc>
      </w:tr>
      <w:tr>
        <w:trPr>
          <w:trHeight w:val="98"/>
        </w:trPr>
        <w:tc>
          <w:tcPr>
            <w:tcW w:w="8280" w:type="dxa"/>
            <w:vAlign w:val="bottom"/>
          </w:tcPr>
          <w:p>
            <w:pPr>
              <w:spacing w:after="0"/>
              <w:rPr>
                <w:sz w:val="8"/>
                <w:szCs w:val="8"/>
                <w:color w:val="auto"/>
              </w:rPr>
            </w:pPr>
          </w:p>
        </w:tc>
        <w:tc>
          <w:tcPr>
            <w:tcW w:w="58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2010</w:t>
            </w:r>
          </w:p>
        </w:tc>
        <w:tc>
          <w:tcPr>
            <w:tcW w:w="420" w:type="dxa"/>
            <w:vAlign w:val="bottom"/>
            <w:tcBorders>
              <w:top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2009</w:t>
            </w:r>
          </w:p>
        </w:tc>
        <w:tc>
          <w:tcPr>
            <w:tcW w:w="120" w:type="dxa"/>
            <w:vAlign w:val="bottom"/>
          </w:tcPr>
          <w:p>
            <w:pPr>
              <w:spacing w:after="0"/>
              <w:rPr>
                <w:sz w:val="8"/>
                <w:szCs w:val="8"/>
                <w:color w:val="auto"/>
              </w:rPr>
            </w:pPr>
          </w:p>
        </w:tc>
      </w:tr>
      <w:tr>
        <w:trPr>
          <w:trHeight w:val="81"/>
        </w:trPr>
        <w:tc>
          <w:tcPr>
            <w:tcW w:w="828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Non-U.S.</w:t>
            </w:r>
          </w:p>
        </w:tc>
        <w:tc>
          <w:tcPr>
            <w:tcW w:w="42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Non-U.S.</w:t>
            </w:r>
          </w:p>
        </w:tc>
        <w:tc>
          <w:tcPr>
            <w:tcW w:w="120" w:type="dxa"/>
            <w:vAlign w:val="bottom"/>
          </w:tcPr>
          <w:p>
            <w:pPr>
              <w:spacing w:after="0"/>
              <w:rPr>
                <w:sz w:val="7"/>
                <w:szCs w:val="7"/>
                <w:color w:val="auto"/>
              </w:rPr>
            </w:pPr>
          </w:p>
        </w:tc>
      </w:tr>
      <w:tr>
        <w:trPr>
          <w:trHeight w:val="125"/>
        </w:trPr>
        <w:tc>
          <w:tcPr>
            <w:tcW w:w="8280" w:type="dxa"/>
            <w:vAlign w:val="bottom"/>
          </w:tcPr>
          <w:p>
            <w:pPr>
              <w:spacing w:after="0"/>
              <w:rPr>
                <w:sz w:val="10"/>
                <w:szCs w:val="10"/>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7"/>
              </w:rPr>
              <w:t>Plans</w:t>
            </w:r>
          </w:p>
        </w:tc>
        <w:tc>
          <w:tcPr>
            <w:tcW w:w="7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Plans</w:t>
            </w:r>
          </w:p>
        </w:tc>
      </w:tr>
      <w:tr>
        <w:trPr>
          <w:trHeight w:val="29"/>
        </w:trPr>
        <w:tc>
          <w:tcPr>
            <w:tcW w:w="82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8280" w:type="dxa"/>
            <w:vAlign w:val="bottom"/>
          </w:tcPr>
          <w:p>
            <w:pPr>
              <w:spacing w:after="0"/>
              <w:rPr>
                <w:sz w:val="20"/>
                <w:szCs w:val="20"/>
                <w:color w:val="auto"/>
              </w:rPr>
            </w:pPr>
            <w:r>
              <w:rPr>
                <w:rFonts w:ascii="Arial" w:cs="Arial" w:eastAsia="Arial" w:hAnsi="Arial"/>
                <w:sz w:val="13"/>
                <w:szCs w:val="13"/>
                <w:color w:val="auto"/>
              </w:rPr>
              <w:t>Corporate bonds</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Government bonds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8280" w:type="dxa"/>
            <w:vAlign w:val="bottom"/>
          </w:tcPr>
          <w:p>
            <w:pPr>
              <w:spacing w:after="0"/>
              <w:rPr>
                <w:sz w:val="20"/>
                <w:szCs w:val="20"/>
                <w:color w:val="auto"/>
              </w:rPr>
            </w:pPr>
            <w:r>
              <w:rPr>
                <w:rFonts w:ascii="Arial" w:cs="Arial" w:eastAsia="Arial" w:hAnsi="Arial"/>
                <w:sz w:val="13"/>
                <w:szCs w:val="13"/>
                <w:color w:val="auto"/>
              </w:rPr>
              <w:t>Cash</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8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8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29"/>
        </w:trPr>
        <w:tc>
          <w:tcPr>
            <w:tcW w:w="8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of the Company’s pension plan assets at December 31, 2010 and 2009 is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7"/>
          </w:tcPr>
          <w:p>
            <w:pPr>
              <w:jc w:val="right"/>
              <w:ind w:right="11"/>
              <w:spacing w:after="0"/>
              <w:rPr>
                <w:sz w:val="20"/>
                <w:szCs w:val="20"/>
                <w:color w:val="auto"/>
              </w:rPr>
            </w:pPr>
            <w:r>
              <w:rPr>
                <w:rFonts w:ascii="Arial" w:cs="Arial" w:eastAsia="Arial" w:hAnsi="Arial"/>
                <w:sz w:val="10"/>
                <w:szCs w:val="10"/>
                <w:b w:val="1"/>
                <w:bCs w:val="1"/>
                <w:color w:val="auto"/>
                <w:w w:val="96"/>
              </w:rPr>
              <w:t>Fair Value Measurements at December 31, 2010:</w:t>
            </w: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Quoted Prices in</w:t>
            </w:r>
          </w:p>
        </w:tc>
        <w:tc>
          <w:tcPr>
            <w:tcW w:w="80" w:type="dxa"/>
            <w:vAlign w:val="bottom"/>
          </w:tcPr>
          <w:p>
            <w:pPr>
              <w:spacing w:after="0"/>
              <w:rPr>
                <w:sz w:val="7"/>
                <w:szCs w:val="7"/>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3"/>
              </w:rPr>
              <w:t>Significant</w:t>
            </w:r>
          </w:p>
        </w:tc>
        <w:tc>
          <w:tcPr>
            <w:tcW w:w="10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9"/>
              </w:rPr>
              <w:t>Active Markets</w:t>
            </w: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8"/>
              </w:rPr>
              <w:t>for Identical</w:t>
            </w:r>
          </w:p>
        </w:tc>
        <w:tc>
          <w:tcPr>
            <w:tcW w:w="80" w:type="dxa"/>
            <w:vAlign w:val="bottom"/>
          </w:tcPr>
          <w:p>
            <w:pPr>
              <w:spacing w:after="0"/>
              <w:rPr>
                <w:sz w:val="9"/>
                <w:szCs w:val="9"/>
                <w:color w:val="auto"/>
              </w:rPr>
            </w:pPr>
          </w:p>
        </w:tc>
        <w:tc>
          <w:tcPr>
            <w:tcW w:w="8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1"/>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100" w:type="dxa"/>
            <w:vAlign w:val="bottom"/>
            <w:vMerge w:val="restart"/>
          </w:tcPr>
          <w:p>
            <w:pPr>
              <w:spacing w:after="0"/>
              <w:rPr>
                <w:sz w:val="20"/>
                <w:szCs w:val="20"/>
                <w:color w:val="auto"/>
              </w:rPr>
            </w:pPr>
            <w:r>
              <w:rPr>
                <w:rFonts w:ascii="Arial" w:cs="Arial" w:eastAsia="Arial" w:hAnsi="Arial"/>
                <w:sz w:val="10"/>
                <w:szCs w:val="10"/>
                <w:b w:val="1"/>
                <w:bCs w:val="1"/>
                <w:color w:val="auto"/>
              </w:rPr>
              <w:t>Manager/Fund</w:t>
            </w:r>
          </w:p>
        </w:tc>
        <w:tc>
          <w:tcPr>
            <w:tcW w:w="200" w:type="dxa"/>
            <w:vAlign w:val="bottom"/>
          </w:tcPr>
          <w:p>
            <w:pPr>
              <w:spacing w:after="0"/>
              <w:rPr>
                <w:sz w:val="9"/>
                <w:szCs w:val="9"/>
                <w:color w:val="auto"/>
              </w:rPr>
            </w:pPr>
          </w:p>
        </w:tc>
        <w:tc>
          <w:tcPr>
            <w:tcW w:w="12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Asset Category</w:t>
            </w: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9"/>
                <w:szCs w:val="9"/>
                <w:color w:val="auto"/>
              </w:rPr>
            </w:pPr>
          </w:p>
        </w:tc>
        <w:tc>
          <w:tcPr>
            <w:tcW w:w="11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85"/>
              </w:rPr>
              <w:t>Assets</w:t>
            </w:r>
          </w:p>
        </w:tc>
        <w:tc>
          <w:tcPr>
            <w:tcW w:w="80" w:type="dxa"/>
            <w:vAlign w:val="bottom"/>
          </w:tcPr>
          <w:p>
            <w:pPr>
              <w:spacing w:after="0"/>
              <w:rPr>
                <w:sz w:val="9"/>
                <w:szCs w:val="9"/>
                <w:color w:val="auto"/>
              </w:rPr>
            </w:pPr>
          </w:p>
        </w:tc>
        <w:tc>
          <w:tcPr>
            <w:tcW w:w="8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(Level 1)</w:t>
            </w:r>
          </w:p>
        </w:tc>
        <w:tc>
          <w:tcPr>
            <w:tcW w:w="8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Bank account</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Baillie Gifford-Managed Pension Fund(a)</w:t>
            </w:r>
          </w:p>
        </w:tc>
        <w:tc>
          <w:tcPr>
            <w:tcW w:w="20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Equity securities</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Cash</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Baillie Gifford-Investment Grade Long Bond Fund(b)</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3,439</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3,439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3"/>
                <w:szCs w:val="13"/>
                <w:color w:val="auto"/>
              </w:rPr>
              <w:t>Legal &amp; General-Over 15 Year Index Linked</w:t>
            </w:r>
          </w:p>
        </w:tc>
        <w:tc>
          <w:tcPr>
            <w:tcW w:w="200" w:type="dxa"/>
            <w:vAlign w:val="bottom"/>
          </w:tcPr>
          <w:p>
            <w:pPr>
              <w:spacing w:after="0"/>
              <w:rPr>
                <w:sz w:val="12"/>
                <w:szCs w:val="12"/>
                <w:color w:val="auto"/>
              </w:rPr>
            </w:pPr>
          </w:p>
        </w:tc>
        <w:tc>
          <w:tcPr>
            <w:tcW w:w="1280" w:type="dxa"/>
            <w:vAlign w:val="bottom"/>
          </w:tcPr>
          <w:p>
            <w:pPr>
              <w:ind w:left="20"/>
              <w:spacing w:after="0" w:line="149" w:lineRule="exact"/>
              <w:rPr>
                <w:sz w:val="20"/>
                <w:szCs w:val="20"/>
                <w:color w:val="auto"/>
              </w:rPr>
            </w:pPr>
            <w:r>
              <w:rPr>
                <w:rFonts w:ascii="Arial" w:cs="Arial" w:eastAsia="Arial" w:hAnsi="Arial"/>
                <w:sz w:val="13"/>
                <w:szCs w:val="13"/>
                <w:color w:val="auto"/>
              </w:rPr>
              <w:t>Index-linked</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100" w:type="dxa"/>
            <w:vAlign w:val="bottom"/>
          </w:tcPr>
          <w:p>
            <w:pPr>
              <w:ind w:left="140"/>
              <w:spacing w:after="0"/>
              <w:rPr>
                <w:sz w:val="20"/>
                <w:szCs w:val="20"/>
                <w:color w:val="auto"/>
              </w:rPr>
            </w:pPr>
            <w:r>
              <w:rPr>
                <w:rFonts w:ascii="Arial" w:cs="Arial" w:eastAsia="Arial" w:hAnsi="Arial"/>
                <w:sz w:val="13"/>
                <w:szCs w:val="13"/>
                <w:color w:val="auto"/>
              </w:rPr>
              <w:t>Gilts Index(c)</w:t>
            </w:r>
          </w:p>
        </w:tc>
        <w:tc>
          <w:tcPr>
            <w:tcW w:w="20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government bonds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4,949</w:t>
            </w: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4,949</w:t>
            </w:r>
          </w:p>
        </w:tc>
        <w:tc>
          <w:tcPr>
            <w:tcW w:w="100" w:type="dxa"/>
            <w:vAlign w:val="bottom"/>
          </w:tcPr>
          <w:p>
            <w:pPr>
              <w:spacing w:after="0"/>
              <w:rPr>
                <w:sz w:val="14"/>
                <w:szCs w:val="14"/>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10,834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10,534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9"/>
        </w:trPr>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2"/>
          </w:tcPr>
          <w:p>
            <w:pPr>
              <w:ind w:left="300"/>
              <w:spacing w:after="0"/>
              <w:rPr>
                <w:sz w:val="20"/>
                <w:szCs w:val="20"/>
                <w:color w:val="auto"/>
              </w:rPr>
            </w:pPr>
            <w:r>
              <w:rPr>
                <w:rFonts w:ascii="Arial" w:cs="Arial" w:eastAsia="Arial" w:hAnsi="Arial"/>
                <w:sz w:val="13"/>
                <w:szCs w:val="13"/>
                <w:color w:val="auto"/>
              </w:rPr>
              <w:t>F-27</w:t>
            </w: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gridSpan w:val="8"/>
          </w:tcPr>
          <w:p>
            <w:pPr>
              <w:ind w:left="140"/>
              <w:spacing w:after="0"/>
              <w:rPr>
                <w:sz w:val="20"/>
                <w:szCs w:val="20"/>
                <w:color w:val="auto"/>
              </w:rPr>
            </w:pPr>
            <w:r>
              <w:rPr>
                <w:rFonts w:ascii="Arial" w:cs="Arial" w:eastAsia="Arial" w:hAnsi="Arial"/>
                <w:sz w:val="10"/>
                <w:szCs w:val="10"/>
                <w:b w:val="1"/>
                <w:bCs w:val="1"/>
                <w:color w:val="auto"/>
              </w:rPr>
              <w:t>Fair Value Measurements at December 31, 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jc w:val="center"/>
              <w:ind w:left="109"/>
              <w:spacing w:after="0" w:line="81" w:lineRule="exact"/>
              <w:rPr>
                <w:sz w:val="20"/>
                <w:szCs w:val="20"/>
                <w:color w:val="auto"/>
              </w:rPr>
            </w:pPr>
            <w:r>
              <w:rPr>
                <w:rFonts w:ascii="Arial" w:cs="Arial" w:eastAsia="Arial" w:hAnsi="Arial"/>
                <w:sz w:val="9"/>
                <w:szCs w:val="9"/>
                <w:b w:val="1"/>
                <w:bCs w:val="1"/>
                <w:color w:val="auto"/>
              </w:rPr>
              <w:t>Quoted Prices in</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3"/>
              </w:rPr>
              <w:t>Significant</w:t>
            </w:r>
          </w:p>
        </w:tc>
        <w:tc>
          <w:tcPr>
            <w:tcW w:w="10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center"/>
              <w:ind w:left="109"/>
              <w:spacing w:after="0" w:line="108" w:lineRule="exact"/>
              <w:rPr>
                <w:sz w:val="20"/>
                <w:szCs w:val="20"/>
                <w:color w:val="auto"/>
              </w:rPr>
            </w:pPr>
            <w:r>
              <w:rPr>
                <w:rFonts w:ascii="Arial" w:cs="Arial" w:eastAsia="Arial" w:hAnsi="Arial"/>
                <w:sz w:val="10"/>
                <w:szCs w:val="10"/>
                <w:b w:val="1"/>
                <w:bCs w:val="1"/>
                <w:color w:val="auto"/>
                <w:w w:val="99"/>
              </w:rPr>
              <w:t>Active Markets</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center"/>
              <w:ind w:left="89"/>
              <w:spacing w:after="0" w:line="108" w:lineRule="exact"/>
              <w:rPr>
                <w:sz w:val="20"/>
                <w:szCs w:val="20"/>
                <w:color w:val="auto"/>
              </w:rPr>
            </w:pPr>
            <w:r>
              <w:rPr>
                <w:rFonts w:ascii="Arial" w:cs="Arial" w:eastAsia="Arial" w:hAnsi="Arial"/>
                <w:sz w:val="10"/>
                <w:szCs w:val="10"/>
                <w:b w:val="1"/>
                <w:bCs w:val="1"/>
                <w:color w:val="auto"/>
                <w:w w:val="98"/>
              </w:rPr>
              <w:t>for Identical</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1"/>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8"/>
        </w:trPr>
        <w:tc>
          <w:tcPr>
            <w:tcW w:w="3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Manager/Fund</w:t>
            </w:r>
          </w:p>
        </w:tc>
        <w:tc>
          <w:tcPr>
            <w:tcW w:w="200" w:type="dxa"/>
            <w:vAlign w:val="bottom"/>
          </w:tcPr>
          <w:p>
            <w:pPr>
              <w:spacing w:after="0"/>
              <w:rPr>
                <w:sz w:val="9"/>
                <w:szCs w:val="9"/>
                <w:color w:val="auto"/>
              </w:rPr>
            </w:pPr>
          </w:p>
        </w:tc>
        <w:tc>
          <w:tcPr>
            <w:tcW w:w="2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Asset Category</w:t>
            </w:r>
          </w:p>
        </w:tc>
        <w:tc>
          <w:tcPr>
            <w:tcW w:w="80" w:type="dxa"/>
            <w:vAlign w:val="bottom"/>
          </w:tcPr>
          <w:p>
            <w:pPr>
              <w:spacing w:after="0"/>
              <w:rPr>
                <w:sz w:val="9"/>
                <w:szCs w:val="9"/>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Total</w:t>
            </w:r>
          </w:p>
        </w:tc>
        <w:tc>
          <w:tcPr>
            <w:tcW w:w="940" w:type="dxa"/>
            <w:vAlign w:val="bottom"/>
          </w:tcPr>
          <w:p>
            <w:pPr>
              <w:jc w:val="center"/>
              <w:ind w:left="89"/>
              <w:spacing w:after="0" w:line="108" w:lineRule="exact"/>
              <w:rPr>
                <w:sz w:val="20"/>
                <w:szCs w:val="20"/>
                <w:color w:val="auto"/>
              </w:rPr>
            </w:pPr>
            <w:r>
              <w:rPr>
                <w:rFonts w:ascii="Arial" w:cs="Arial" w:eastAsia="Arial" w:hAnsi="Arial"/>
                <w:sz w:val="10"/>
                <w:szCs w:val="10"/>
                <w:b w:val="1"/>
                <w:bCs w:val="1"/>
                <w:color w:val="auto"/>
                <w:w w:val="85"/>
              </w:rPr>
              <w:t>Assets</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3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940" w:type="dxa"/>
            <w:vAlign w:val="bottom"/>
          </w:tcPr>
          <w:p>
            <w:pPr>
              <w:jc w:val="center"/>
              <w:ind w:left="89"/>
              <w:spacing w:after="0"/>
              <w:rPr>
                <w:sz w:val="20"/>
                <w:szCs w:val="20"/>
                <w:color w:val="auto"/>
              </w:rPr>
            </w:pPr>
            <w:r>
              <w:rPr>
                <w:rFonts w:ascii="Arial" w:cs="Arial" w:eastAsia="Arial" w:hAnsi="Arial"/>
                <w:sz w:val="10"/>
                <w:szCs w:val="10"/>
                <w:b w:val="1"/>
                <w:bCs w:val="1"/>
                <w:color w:val="auto"/>
                <w:w w:val="98"/>
              </w:rPr>
              <w:t>(Level 1)</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account</w:t>
            </w:r>
          </w:p>
        </w:tc>
        <w:tc>
          <w:tcPr>
            <w:tcW w:w="20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6"/>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300" w:type="dxa"/>
            <w:vAlign w:val="bottom"/>
            <w:gridSpan w:val="2"/>
          </w:tcPr>
          <w:p>
            <w:pPr>
              <w:spacing w:after="0"/>
              <w:rPr>
                <w:sz w:val="20"/>
                <w:szCs w:val="20"/>
                <w:color w:val="auto"/>
              </w:rPr>
            </w:pPr>
            <w:r>
              <w:rPr>
                <w:rFonts w:ascii="Arial" w:cs="Arial" w:eastAsia="Arial" w:hAnsi="Arial"/>
                <w:sz w:val="13"/>
                <w:szCs w:val="13"/>
                <w:color w:val="auto"/>
              </w:rPr>
              <w:t>Baillie Gifford-Managed Pension Fund(a)</w:t>
            </w:r>
          </w:p>
        </w:tc>
        <w:tc>
          <w:tcPr>
            <w:tcW w:w="200" w:type="dxa"/>
            <w:vAlign w:val="bottom"/>
          </w:tcPr>
          <w:p>
            <w:pPr>
              <w:spacing w:after="0"/>
              <w:rPr>
                <w:sz w:val="13"/>
                <w:szCs w:val="13"/>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Equity securities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1,681</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1,681</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Overseas government bonds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203</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6"/>
              </w:rPr>
              <w:t>48</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300" w:type="dxa"/>
            <w:vAlign w:val="bottom"/>
            <w:gridSpan w:val="2"/>
          </w:tcPr>
          <w:p>
            <w:pPr>
              <w:spacing w:after="0"/>
              <w:rPr>
                <w:sz w:val="20"/>
                <w:szCs w:val="20"/>
                <w:color w:val="auto"/>
              </w:rPr>
            </w:pPr>
            <w:r>
              <w:rPr>
                <w:rFonts w:ascii="Arial" w:cs="Arial" w:eastAsia="Arial" w:hAnsi="Arial"/>
                <w:sz w:val="13"/>
                <w:szCs w:val="13"/>
                <w:color w:val="auto"/>
              </w:rPr>
              <w:t>Baillie Gifford-Investment Grade Long Bond Fund(b)</w:t>
            </w:r>
          </w:p>
        </w:tc>
        <w:tc>
          <w:tcPr>
            <w:tcW w:w="200" w:type="dxa"/>
            <w:vAlign w:val="bottom"/>
          </w:tcPr>
          <w:p>
            <w:pPr>
              <w:spacing w:after="0"/>
              <w:rPr>
                <w:sz w:val="13"/>
                <w:szCs w:val="13"/>
                <w:color w:val="auto"/>
              </w:rPr>
            </w:pPr>
          </w:p>
        </w:tc>
        <w:tc>
          <w:tcPr>
            <w:tcW w:w="270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3,159</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3,159</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Legal &amp; General-Over 15 Year Index Linked</w:t>
            </w:r>
          </w:p>
        </w:tc>
        <w:tc>
          <w:tcPr>
            <w:tcW w:w="20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Index-linked</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Gilts Index(c)</w:t>
            </w:r>
          </w:p>
        </w:tc>
        <w:tc>
          <w:tcPr>
            <w:tcW w:w="20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government bonds</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4,157</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4,157</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9,302</w:t>
            </w:r>
          </w:p>
        </w:tc>
        <w:tc>
          <w:tcPr>
            <w:tcW w:w="200" w:type="dxa"/>
            <w:vAlign w:val="bottom"/>
          </w:tcPr>
          <w:p>
            <w:pPr>
              <w:spacing w:after="0"/>
              <w:rPr>
                <w:sz w:val="14"/>
                <w:szCs w:val="14"/>
                <w:color w:val="auto"/>
              </w:rPr>
            </w:pPr>
          </w:p>
        </w:tc>
        <w:tc>
          <w:tcPr>
            <w:tcW w:w="940" w:type="dxa"/>
            <w:vAlign w:val="bottom"/>
          </w:tcPr>
          <w:p>
            <w:pPr>
              <w:jc w:val="right"/>
              <w:ind w:right="829"/>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w w:val="96"/>
              </w:rPr>
              <w:t>98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9,204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category represents a pooled fund consisting of holdings in a range of UK and overseas equities and bonds, and cash.</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category represents a diversified portfolio of investment-grade fixed-interest securities.</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category represents a fund consisting of index-linked gifts and is designated to follow a benchmark index.</w:t>
      </w:r>
    </w:p>
    <w:p>
      <w:pPr>
        <w:spacing w:after="0" w:line="96"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The Level 2 investments are single priced. The fund prices are calculated by the trustee by taking the closing market price of each underlying investment using a variety of independent pricing sources (i.e., quoted market prices). The prices also include income receivable and expenses payable, where applicable.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Based on year-end exchange rates, the Company anticipates contributing approximately $0.7 million to its defined benefit plans in 2011. Also based on year-end exchange rates, the</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 expects to pay the following estimated future benefit payments in the years indicated (in thousands):</w:t>
      </w:r>
    </w:p>
    <w:p>
      <w:pPr>
        <w:spacing w:after="0" w:line="107" w:lineRule="exact"/>
        <w:rPr>
          <w:sz w:val="20"/>
          <w:szCs w:val="20"/>
          <w:color w:val="auto"/>
        </w:rPr>
      </w:pPr>
    </w:p>
    <w:tbl>
      <w:tblPr>
        <w:tblLayout w:type="fixed"/>
        <w:tblInd w:w="1460" w:type="dxa"/>
        <w:tblCellMar>
          <w:top w:w="0" w:type="dxa"/>
          <w:left w:w="0" w:type="dxa"/>
          <w:bottom w:w="0" w:type="dxa"/>
          <w:right w:w="0" w:type="dxa"/>
        </w:tblCellMar>
      </w:tblPr>
      <w:tr>
        <w:trPr>
          <w:trHeight w:val="157"/>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42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  435</w:t>
            </w:r>
          </w:p>
        </w:tc>
      </w:tr>
      <w:tr>
        <w:trPr>
          <w:trHeight w:val="157"/>
        </w:trPr>
        <w:tc>
          <w:tcPr>
            <w:tcW w:w="4240" w:type="dxa"/>
            <w:vAlign w:val="bottom"/>
          </w:tcPr>
          <w:p>
            <w:pPr>
              <w:spacing w:after="0"/>
              <w:rPr>
                <w:sz w:val="20"/>
                <w:szCs w:val="20"/>
                <w:color w:val="auto"/>
              </w:rPr>
            </w:pPr>
            <w:r>
              <w:rPr>
                <w:rFonts w:ascii="Arial" w:cs="Arial" w:eastAsia="Arial" w:hAnsi="Arial"/>
                <w:sz w:val="13"/>
                <w:szCs w:val="13"/>
                <w:color w:val="auto"/>
              </w:rPr>
              <w:t>2012</w:t>
            </w:r>
          </w:p>
        </w:tc>
        <w:tc>
          <w:tcPr>
            <w:tcW w:w="4200" w:type="dxa"/>
            <w:vAlign w:val="bottom"/>
          </w:tcPr>
          <w:p>
            <w:pPr>
              <w:jc w:val="right"/>
              <w:ind w:right="94"/>
              <w:spacing w:after="0"/>
              <w:rPr>
                <w:sz w:val="20"/>
                <w:szCs w:val="20"/>
                <w:color w:val="auto"/>
              </w:rPr>
            </w:pPr>
            <w:r>
              <w:rPr>
                <w:rFonts w:ascii="Arial" w:cs="Arial" w:eastAsia="Arial" w:hAnsi="Arial"/>
                <w:sz w:val="13"/>
                <w:szCs w:val="13"/>
                <w:color w:val="auto"/>
              </w:rPr>
              <w:t>478</w:t>
            </w:r>
          </w:p>
        </w:tc>
      </w:tr>
      <w:tr>
        <w:trPr>
          <w:trHeight w:val="157"/>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42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516</w:t>
            </w:r>
          </w:p>
        </w:tc>
      </w:tr>
      <w:tr>
        <w:trPr>
          <w:trHeight w:val="157"/>
        </w:trPr>
        <w:tc>
          <w:tcPr>
            <w:tcW w:w="4240" w:type="dxa"/>
            <w:vAlign w:val="bottom"/>
          </w:tcPr>
          <w:p>
            <w:pPr>
              <w:spacing w:after="0"/>
              <w:rPr>
                <w:sz w:val="20"/>
                <w:szCs w:val="20"/>
                <w:color w:val="auto"/>
              </w:rPr>
            </w:pPr>
            <w:r>
              <w:rPr>
                <w:rFonts w:ascii="Arial" w:cs="Arial" w:eastAsia="Arial" w:hAnsi="Arial"/>
                <w:sz w:val="13"/>
                <w:szCs w:val="13"/>
                <w:color w:val="auto"/>
              </w:rPr>
              <w:t>2014</w:t>
            </w:r>
          </w:p>
        </w:tc>
        <w:tc>
          <w:tcPr>
            <w:tcW w:w="4200" w:type="dxa"/>
            <w:vAlign w:val="bottom"/>
          </w:tcPr>
          <w:p>
            <w:pPr>
              <w:jc w:val="right"/>
              <w:ind w:right="94"/>
              <w:spacing w:after="0"/>
              <w:rPr>
                <w:sz w:val="20"/>
                <w:szCs w:val="20"/>
                <w:color w:val="auto"/>
              </w:rPr>
            </w:pPr>
            <w:r>
              <w:rPr>
                <w:rFonts w:ascii="Arial" w:cs="Arial" w:eastAsia="Arial" w:hAnsi="Arial"/>
                <w:sz w:val="13"/>
                <w:szCs w:val="13"/>
                <w:color w:val="auto"/>
              </w:rPr>
              <w:t>548</w:t>
            </w:r>
          </w:p>
        </w:tc>
      </w:tr>
      <w:tr>
        <w:trPr>
          <w:trHeight w:val="157"/>
        </w:trPr>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42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581</w:t>
            </w:r>
          </w:p>
        </w:tc>
      </w:tr>
      <w:tr>
        <w:trPr>
          <w:trHeight w:val="165"/>
        </w:trPr>
        <w:tc>
          <w:tcPr>
            <w:tcW w:w="4240" w:type="dxa"/>
            <w:vAlign w:val="bottom"/>
          </w:tcPr>
          <w:p>
            <w:pPr>
              <w:spacing w:after="0"/>
              <w:rPr>
                <w:sz w:val="20"/>
                <w:szCs w:val="20"/>
                <w:color w:val="auto"/>
              </w:rPr>
            </w:pPr>
            <w:r>
              <w:rPr>
                <w:rFonts w:ascii="Arial" w:cs="Arial" w:eastAsia="Arial" w:hAnsi="Arial"/>
                <w:sz w:val="13"/>
                <w:szCs w:val="13"/>
                <w:color w:val="auto"/>
              </w:rPr>
              <w:t>2016-2020</w:t>
            </w:r>
          </w:p>
        </w:tc>
        <w:tc>
          <w:tcPr>
            <w:tcW w:w="4200" w:type="dxa"/>
            <w:vAlign w:val="bottom"/>
          </w:tcPr>
          <w:p>
            <w:pPr>
              <w:jc w:val="right"/>
              <w:ind w:right="94"/>
              <w:spacing w:after="0"/>
              <w:rPr>
                <w:sz w:val="20"/>
                <w:szCs w:val="20"/>
                <w:color w:val="auto"/>
              </w:rPr>
            </w:pPr>
            <w:r>
              <w:rPr>
                <w:rFonts w:ascii="Arial" w:cs="Arial" w:eastAsia="Arial" w:hAnsi="Arial"/>
                <w:sz w:val="13"/>
                <w:szCs w:val="13"/>
                <w:color w:val="auto"/>
              </w:rPr>
              <w:t>3,361</w:t>
            </w:r>
          </w:p>
        </w:tc>
      </w:tr>
    </w:tbl>
    <w:p>
      <w:pPr>
        <w:spacing w:after="0" w:line="7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Included in Accumulated Other Comprehensive Income is $1.1 million of unrecognized net actuarial loss, a portion of which is expected to be recognized as a component of net periodic benefit cost in 2011.</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DEFINED CONTRIBUTION PLANS</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The Company also has various defined contribution savings plans that cover substantially all employees in the United States, the United Kingdom and Puerto Rico. The Company matches a certain percentage of each employee’s contributions as per the provisions of the plans. Total contributions by the Company to the plans were $2.0 million, $1.7 million and $1.4 million for the years ended December 31, 2010, 2009 and 2008, respectively.</w:t>
      </w:r>
    </w:p>
    <w:p>
      <w:pPr>
        <w:spacing w:after="0" w:line="10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LEASES AND RELATED PARTY LEASES</w:t>
      </w:r>
    </w:p>
    <w:p>
      <w:pPr>
        <w:spacing w:after="0" w:line="100" w:lineRule="exact"/>
        <w:rPr>
          <w:sz w:val="20"/>
          <w:szCs w:val="20"/>
          <w:color w:val="auto"/>
        </w:rPr>
      </w:pPr>
    </w:p>
    <w:p>
      <w:pPr>
        <w:ind w:left="680" w:right="1200" w:firstLine="399"/>
        <w:spacing w:after="0" w:line="276" w:lineRule="auto"/>
        <w:rPr>
          <w:sz w:val="20"/>
          <w:szCs w:val="20"/>
          <w:color w:val="auto"/>
        </w:rPr>
      </w:pPr>
      <w:r>
        <w:rPr>
          <w:rFonts w:ascii="Arial" w:cs="Arial" w:eastAsia="Arial" w:hAnsi="Arial"/>
          <w:sz w:val="13"/>
          <w:szCs w:val="13"/>
          <w:color w:val="auto"/>
        </w:rPr>
        <w:t>The Company leases administrative, manufacturing, research and distribution facilities and various manufacturing, office and transportation equipment through operating lease agreements. Future minimum lease payments under operating leases at December 31, 2010 were as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Related</w:t>
            </w:r>
          </w:p>
        </w:tc>
        <w:tc>
          <w:tcPr>
            <w:tcW w:w="100" w:type="dxa"/>
            <w:vAlign w:val="bottom"/>
          </w:tcPr>
          <w:p>
            <w:pPr>
              <w:spacing w:after="0"/>
              <w:rPr>
                <w:sz w:val="10"/>
                <w:szCs w:val="10"/>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Third</w:t>
            </w:r>
          </w:p>
        </w:tc>
        <w:tc>
          <w:tcPr>
            <w:tcW w:w="120" w:type="dxa"/>
            <w:vAlign w:val="bottom"/>
          </w:tcPr>
          <w:p>
            <w:pPr>
              <w:spacing w:after="0"/>
              <w:rPr>
                <w:sz w:val="10"/>
                <w:szCs w:val="10"/>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5"/>
              </w:rPr>
              <w:t>Parties</w:t>
            </w:r>
          </w:p>
        </w:tc>
        <w:tc>
          <w:tcPr>
            <w:tcW w:w="100" w:type="dxa"/>
            <w:vAlign w:val="bottom"/>
          </w:tcPr>
          <w:p>
            <w:pPr>
              <w:spacing w:after="0"/>
              <w:rPr>
                <w:sz w:val="10"/>
                <w:szCs w:val="10"/>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5"/>
              </w:rPr>
              <w:t>Parties</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942</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8,202</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2012</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945</w:t>
            </w: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6,560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7,505</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5,798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6,716</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2014</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918</w:t>
            </w: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4,998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5,916</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3,339</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Thereafter</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2,343</w:t>
            </w: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4,372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6,715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lease payments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6,932</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31,461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38,393</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Total rental expense for the years ended December 31, 2010, 2009 and 2008 and was $8.2 million, $8.1 million and $5.9 million, respectively, and included $0.8 million, $0.9 million and $0.5 million in related party rental expense, respectively.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Related Party Leases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leases certain production equipment from a corporation whose sole stockholder is a general partnership, of which the Company’s Chairman is a partner and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President. The term of the lease is through March 31, 2022, and the Company has an option to renew through March 31, 2032. Under the terms of the lease agreement, the Company pays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$0.1 million per year to the related party lessor. The Company also leases its manufacturing facility in Plainsboro, New Jersey, from a general partnership that is 50% owned by a corporation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whose shareholders are trusts, whose beneficiaries include family members of the Company’s Chairman. The term of the current lease agreement is through October 31, 2017 at an annual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rate of approximately $0.3 million per year. The current lease agreement also provides a ten-year option for the Company to extend the lease from November 1, 2017 through October 31,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2027 at an annual rate of approximately $0.3 million per year.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3"/>
                <w:szCs w:val="13"/>
                <w:b w:val="1"/>
                <w:bCs w:val="1"/>
                <w:color w:val="auto"/>
              </w:rPr>
              <w:t>10.</w:t>
            </w:r>
          </w:p>
        </w:tc>
        <w:tc>
          <w:tcPr>
            <w:tcW w:w="3920" w:type="dxa"/>
            <w:vAlign w:val="bottom"/>
          </w:tcPr>
          <w:p>
            <w:pPr>
              <w:ind w:left="160"/>
              <w:spacing w:after="0"/>
              <w:rPr>
                <w:sz w:val="20"/>
                <w:szCs w:val="20"/>
                <w:color w:val="auto"/>
              </w:rPr>
            </w:pPr>
            <w:r>
              <w:rPr>
                <w:rFonts w:ascii="Arial" w:cs="Arial" w:eastAsia="Arial" w:hAnsi="Arial"/>
                <w:sz w:val="13"/>
                <w:szCs w:val="13"/>
                <w:b w:val="1"/>
                <w:bCs w:val="1"/>
                <w:color w:val="auto"/>
              </w:rPr>
              <w:t>INCOME TAXES</w:t>
            </w: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20" w:type="dxa"/>
            <w:vAlign w:val="bottom"/>
          </w:tcPr>
          <w:p>
            <w:pPr>
              <w:ind w:left="60"/>
              <w:spacing w:after="0"/>
              <w:rPr>
                <w:sz w:val="20"/>
                <w:szCs w:val="20"/>
                <w:color w:val="auto"/>
              </w:rPr>
            </w:pPr>
            <w:r>
              <w:rPr>
                <w:rFonts w:ascii="Arial" w:cs="Arial" w:eastAsia="Arial" w:hAnsi="Arial"/>
                <w:sz w:val="13"/>
                <w:szCs w:val="13"/>
                <w:color w:val="auto"/>
              </w:rPr>
              <w:t>Income (loss) before income taxes consisted of the following:</w:t>
            </w:r>
          </w:p>
        </w:tc>
        <w:tc>
          <w:tcPr>
            <w:tcW w:w="3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w w:val="94"/>
              </w:rPr>
              <w:t>Years Ended December 31,</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 operations</w:t>
            </w:r>
          </w:p>
        </w:tc>
        <w:tc>
          <w:tcPr>
            <w:tcW w:w="318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40,028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42,113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(1,016)</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Arial" w:cs="Arial" w:eastAsia="Arial" w:hAnsi="Arial"/>
                <w:sz w:val="13"/>
                <w:szCs w:val="13"/>
                <w:color w:val="auto"/>
              </w:rPr>
              <w:t>Foreign operations</w:t>
            </w: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42,086</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31,039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19,551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3920" w:type="dxa"/>
            <w:vAlign w:val="bottom"/>
            <w:shd w:val="clear" w:color="auto" w:fill="CCEEFF"/>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82,114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73,152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18,535</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40" w:type="dxa"/>
            <w:vAlign w:val="bottom"/>
          </w:tcPr>
          <w:p>
            <w:pPr>
              <w:ind w:left="620"/>
              <w:spacing w:after="0"/>
              <w:rPr>
                <w:sz w:val="20"/>
                <w:szCs w:val="20"/>
                <w:color w:val="auto"/>
              </w:rPr>
            </w:pPr>
            <w:r>
              <w:rPr>
                <w:rFonts w:ascii="Arial" w:cs="Arial" w:eastAsia="Arial" w:hAnsi="Arial"/>
                <w:sz w:val="13"/>
                <w:szCs w:val="13"/>
                <w:color w:val="auto"/>
              </w:rPr>
              <w:t>F-29</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92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U.S. Federal statutory rate to the Company’s effective tax rate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w w:val="91"/>
              </w:rPr>
              <w:t>Years Ended December 31,</w:t>
            </w:r>
          </w:p>
        </w:tc>
        <w:tc>
          <w:tcPr>
            <w:tcW w:w="3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580" w:type="dxa"/>
            <w:vAlign w:val="bottom"/>
          </w:tcPr>
          <w:p>
            <w:pPr>
              <w:spacing w:after="0"/>
              <w:rPr>
                <w:sz w:val="8"/>
                <w:szCs w:val="8"/>
                <w:color w:val="auto"/>
              </w:rPr>
            </w:pPr>
          </w:p>
        </w:tc>
        <w:tc>
          <w:tcPr>
            <w:tcW w:w="360" w:type="dxa"/>
            <w:vAlign w:val="bottom"/>
          </w:tcPr>
          <w:p>
            <w:pPr>
              <w:jc w:val="right"/>
              <w:ind w:right="16"/>
              <w:spacing w:after="0" w:line="98" w:lineRule="exact"/>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8"/>
                <w:szCs w:val="8"/>
                <w:color w:val="auto"/>
              </w:rPr>
            </w:pPr>
          </w:p>
        </w:tc>
        <w:tc>
          <w:tcPr>
            <w:tcW w:w="62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740" w:type="dxa"/>
            <w:vAlign w:val="bottom"/>
          </w:tcPr>
          <w:p>
            <w:pPr>
              <w:spacing w:after="0"/>
              <w:rPr>
                <w:sz w:val="8"/>
                <w:szCs w:val="8"/>
                <w:color w:val="auto"/>
              </w:rPr>
            </w:pPr>
          </w:p>
        </w:tc>
        <w:tc>
          <w:tcPr>
            <w:tcW w:w="360" w:type="dxa"/>
            <w:vAlign w:val="bottom"/>
          </w:tcPr>
          <w:p>
            <w:pPr>
              <w:jc w:val="right"/>
              <w:ind w:right="16"/>
              <w:spacing w:after="0" w:line="98" w:lineRule="exact"/>
              <w:rPr>
                <w:sz w:val="20"/>
                <w:szCs w:val="20"/>
                <w:color w:val="auto"/>
              </w:rPr>
            </w:pPr>
            <w:r>
              <w:rPr>
                <w:rFonts w:ascii="Arial" w:cs="Arial" w:eastAsia="Arial" w:hAnsi="Arial"/>
                <w:sz w:val="10"/>
                <w:szCs w:val="10"/>
                <w:b w:val="1"/>
                <w:bCs w:val="1"/>
                <w:color w:val="auto"/>
              </w:rPr>
              <w:t>2008</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5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Federal statutory rate</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3"/>
                <w:szCs w:val="13"/>
                <w:color w:val="auto"/>
              </w:rPr>
              <w:t>35.0%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7580" w:type="dxa"/>
            <w:vAlign w:val="bottom"/>
          </w:tcPr>
          <w:p>
            <w:pPr>
              <w:spacing w:after="0"/>
              <w:rPr>
                <w:sz w:val="20"/>
                <w:szCs w:val="20"/>
                <w:color w:val="auto"/>
              </w:rPr>
            </w:pPr>
            <w:r>
              <w:rPr>
                <w:rFonts w:ascii="Arial" w:cs="Arial" w:eastAsia="Arial" w:hAnsi="Arial"/>
                <w:sz w:val="13"/>
                <w:szCs w:val="13"/>
                <w:color w:val="auto"/>
              </w:rPr>
              <w:t>Increase (reduction) in income taxes resulting from:</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income taxes, net of federal tax benefit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3"/>
                <w:szCs w:val="13"/>
                <w:color w:val="auto"/>
              </w:rPr>
              <w:t>2.6%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7580" w:type="dxa"/>
            <w:vAlign w:val="bottom"/>
          </w:tcPr>
          <w:p>
            <w:pPr>
              <w:ind w:left="140"/>
              <w:spacing w:after="0"/>
              <w:rPr>
                <w:sz w:val="20"/>
                <w:szCs w:val="20"/>
                <w:color w:val="auto"/>
              </w:rPr>
            </w:pPr>
            <w:r>
              <w:rPr>
                <w:rFonts w:ascii="Arial" w:cs="Arial" w:eastAsia="Arial" w:hAnsi="Arial"/>
                <w:sz w:val="13"/>
                <w:szCs w:val="13"/>
                <w:color w:val="auto"/>
              </w:rPr>
              <w:t>Foreign operations</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1360" w:type="dxa"/>
            <w:vAlign w:val="bottom"/>
            <w:gridSpan w:val="3"/>
          </w:tcPr>
          <w:p>
            <w:pPr>
              <w:jc w:val="right"/>
              <w:ind w:right="580"/>
              <w:spacing w:after="0"/>
              <w:rPr>
                <w:sz w:val="20"/>
                <w:szCs w:val="20"/>
                <w:color w:val="auto"/>
              </w:rPr>
            </w:pPr>
            <w:r>
              <w:rPr>
                <w:rFonts w:ascii="Arial" w:cs="Arial" w:eastAsia="Arial" w:hAnsi="Arial"/>
                <w:sz w:val="13"/>
                <w:szCs w:val="13"/>
                <w:color w:val="auto"/>
              </w:rPr>
              <w:t>(9.9)%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57"/>
        </w:trPr>
        <w:tc>
          <w:tcPr>
            <w:tcW w:w="7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Incentive stock option expense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(0.2)%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7580" w:type="dxa"/>
            <w:vAlign w:val="bottom"/>
          </w:tcPr>
          <w:p>
            <w:pPr>
              <w:ind w:left="140"/>
              <w:spacing w:after="0"/>
              <w:rPr>
                <w:sz w:val="20"/>
                <w:szCs w:val="20"/>
                <w:color w:val="auto"/>
              </w:rPr>
            </w:pPr>
            <w:r>
              <w:rPr>
                <w:rFonts w:ascii="Arial" w:cs="Arial" w:eastAsia="Arial" w:hAnsi="Arial"/>
                <w:sz w:val="13"/>
                <w:szCs w:val="13"/>
                <w:color w:val="auto"/>
              </w:rPr>
              <w:t>Change in valuation allowances</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1.7%</w:t>
            </w:r>
          </w:p>
        </w:tc>
        <w:tc>
          <w:tcPr>
            <w:tcW w:w="1360" w:type="dxa"/>
            <w:vAlign w:val="bottom"/>
            <w:gridSpan w:val="3"/>
          </w:tcPr>
          <w:p>
            <w:pPr>
              <w:jc w:val="right"/>
              <w:ind w:right="620"/>
              <w:spacing w:after="0"/>
              <w:rPr>
                <w:sz w:val="20"/>
                <w:szCs w:val="20"/>
                <w:color w:val="auto"/>
              </w:rPr>
            </w:pPr>
            <w:r>
              <w:rPr>
                <w:rFonts w:ascii="Arial" w:cs="Arial" w:eastAsia="Arial" w:hAnsi="Arial"/>
                <w:sz w:val="13"/>
                <w:szCs w:val="13"/>
                <w:color w:val="auto"/>
              </w:rPr>
              <w:t>4.4%</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7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Uncertain tax positions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80" w:type="dxa"/>
            <w:vAlign w:val="bottom"/>
          </w:tcPr>
          <w:p>
            <w:pPr>
              <w:ind w:left="140"/>
              <w:spacing w:after="0"/>
              <w:rPr>
                <w:sz w:val="20"/>
                <w:szCs w:val="20"/>
                <w:color w:val="auto"/>
              </w:rPr>
            </w:pPr>
            <w:r>
              <w:rPr>
                <w:rFonts w:ascii="Arial" w:cs="Arial" w:eastAsia="Arial" w:hAnsi="Arial"/>
                <w:sz w:val="13"/>
                <w:szCs w:val="13"/>
                <w:color w:val="auto"/>
              </w:rPr>
              <w:t>German tax restructuring</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157"/>
        </w:trPr>
        <w:tc>
          <w:tcPr>
            <w:tcW w:w="7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3"/>
                <w:szCs w:val="13"/>
                <w:color w:val="auto"/>
              </w:rPr>
              <w:t>Effective tax rate</w:t>
            </w: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80" w:type="dxa"/>
            <w:vAlign w:val="bottom"/>
            <w:vMerge w:val="continue"/>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20.0%</w:t>
            </w:r>
          </w:p>
        </w:tc>
        <w:tc>
          <w:tcPr>
            <w:tcW w:w="1360" w:type="dxa"/>
            <w:vAlign w:val="bottom"/>
            <w:gridSpan w:val="3"/>
          </w:tcPr>
          <w:p>
            <w:pPr>
              <w:jc w:val="right"/>
              <w:ind w:right="620"/>
              <w:spacing w:after="0"/>
              <w:rPr>
                <w:sz w:val="20"/>
                <w:szCs w:val="20"/>
                <w:color w:val="auto"/>
              </w:rPr>
            </w:pPr>
            <w:r>
              <w:rPr>
                <w:rFonts w:ascii="Arial" w:cs="Arial" w:eastAsia="Arial" w:hAnsi="Arial"/>
                <w:sz w:val="13"/>
                <w:szCs w:val="13"/>
                <w:color w:val="auto"/>
              </w:rPr>
              <w:t>30.3%</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30"/>
        </w:trPr>
        <w:tc>
          <w:tcPr>
            <w:tcW w:w="7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In the fourth quarter of 2010, the Company recorded the full year income tax benefit related to the passing of the Tax Relief, Unemployment Insurance Reauthorization and Job Creation Act of 2010. In the fourth quarter of 2008, the Company reported a $10.0 million deferred income tax benefit related to the restructuring of a German subsidiary.</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At December 31, 2010, the Company had net operating loss carryforwards of $9.4 million for federal income tax purposes, $135.6 million for foreign income tax purposes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$35.1 million for state income tax purposes to offset future taxable income. The federal net operating loss carryforwards expire through 2027, $46.0 million of the foreign net operating loss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carryforwards expire through 2018 with the remaining $89.6 million having an indefinite carry forward period. The state net operating loss carryforwards expire through 2029.</w:t>
      </w:r>
    </w:p>
    <w:p>
      <w:pPr>
        <w:spacing w:after="0" w:line="89"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At December 31, 2010 and 2009, several of the Company’s subsidiaries had unused net operating loss carryforwards and tax credit carryforwards arising from periods prior to the Company’s ownership which expire through 2027. The Internal Revenue Code limits the timing and manner in which the Company may use any acquired net operating losses or tax credits.</w:t>
      </w:r>
    </w:p>
    <w:p>
      <w:pPr>
        <w:spacing w:after="0" w:line="1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Income taxes are not provided on certain undistributed earnings of non-U.S. subsidiaries because such earnings are expected to be permanently reinvested. Undistributed earnings of such foreign subsidiaries totaled $140.2 million, $101.4 million and $72.7 million at December 31, 2010, 2009 and 2008, respectively.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provision for (benefit from) income taxes consisted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5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left="24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2,686</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9,106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13,793</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4,021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4,808</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Foreign</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8,495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8,522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5,749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current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12,317</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21,649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24,350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Deferred:</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2,522</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(19,253)</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835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(672)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(2,790)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771</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(11,499)</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deferred</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4,128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548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(33,542)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16,445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22,197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(9,192)</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income tax effects of significant temporary differences that give rise to deferred tax assets and liabilities, shown before jurisdictional netting, are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 assets:</w:t>
            </w:r>
          </w:p>
        </w:tc>
        <w:tc>
          <w:tcPr>
            <w:tcW w:w="4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Doubtful accounts</w:t>
            </w:r>
          </w:p>
        </w:tc>
        <w:tc>
          <w:tcPr>
            <w:tcW w:w="45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2,033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3,404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Inventory reserves</w:t>
            </w:r>
          </w:p>
        </w:tc>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25,131</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Tax credits</w:t>
            </w: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1,469</w:t>
            </w: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1,731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vacation</w:t>
            </w:r>
          </w:p>
        </w:tc>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2,082</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Accrued bonus</w:t>
            </w: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3,126</w:t>
            </w: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2,190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5,088</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80" w:type="dxa"/>
            <w:vAlign w:val="bottom"/>
            <w:vMerge w:val="restart"/>
          </w:tcPr>
          <w:p>
            <w:pPr>
              <w:ind w:left="140"/>
              <w:spacing w:after="0"/>
              <w:rPr>
                <w:sz w:val="20"/>
                <w:szCs w:val="20"/>
                <w:color w:val="auto"/>
              </w:rPr>
            </w:pPr>
            <w:r>
              <w:rPr>
                <w:rFonts w:ascii="Arial" w:cs="Arial" w:eastAsia="Arial" w:hAnsi="Arial"/>
                <w:sz w:val="13"/>
                <w:szCs w:val="13"/>
                <w:color w:val="auto"/>
              </w:rPr>
              <w:t>Total current deferred tax assets</w:t>
            </w:r>
          </w:p>
        </w:tc>
        <w:tc>
          <w:tcPr>
            <w:tcW w:w="4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80" w:type="dxa"/>
            <w:vAlign w:val="bottom"/>
            <w:vMerge w:val="continue"/>
          </w:tcPr>
          <w:p>
            <w:pPr>
              <w:spacing w:after="0"/>
              <w:rPr>
                <w:sz w:val="13"/>
                <w:szCs w:val="13"/>
                <w:color w:val="auto"/>
              </w:rPr>
            </w:pP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38,929</w:t>
            </w: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29,892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valuation allowance</w:t>
            </w:r>
          </w:p>
        </w:tc>
        <w:tc>
          <w:tcPr>
            <w:tcW w:w="4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(852)</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80" w:type="dxa"/>
            <w:vAlign w:val="bottom"/>
            <w:vMerge w:val="restart"/>
          </w:tcPr>
          <w:p>
            <w:pPr>
              <w:ind w:left="140"/>
              <w:spacing w:after="0"/>
              <w:rPr>
                <w:sz w:val="20"/>
                <w:szCs w:val="20"/>
                <w:color w:val="auto"/>
              </w:rPr>
            </w:pPr>
            <w:r>
              <w:rPr>
                <w:rFonts w:ascii="Arial" w:cs="Arial" w:eastAsia="Arial" w:hAnsi="Arial"/>
                <w:sz w:val="13"/>
                <w:szCs w:val="13"/>
                <w:color w:val="auto"/>
              </w:rPr>
              <w:t>Current deferred tax assets after valuation allowance</w:t>
            </w:r>
          </w:p>
        </w:tc>
        <w:tc>
          <w:tcPr>
            <w:tcW w:w="4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880" w:type="dxa"/>
            <w:vAlign w:val="bottom"/>
            <w:vMerge w:val="continue"/>
          </w:tcPr>
          <w:p>
            <w:pPr>
              <w:spacing w:after="0"/>
              <w:rPr>
                <w:sz w:val="14"/>
                <w:szCs w:val="14"/>
                <w:color w:val="auto"/>
              </w:rPr>
            </w:pPr>
          </w:p>
        </w:tc>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38,077</w:t>
            </w:r>
          </w:p>
        </w:tc>
        <w:tc>
          <w:tcPr>
            <w:tcW w:w="1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29,389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 liabilities:</w:t>
            </w:r>
          </w:p>
        </w:tc>
        <w:tc>
          <w:tcPr>
            <w:tcW w:w="44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80" w:type="dxa"/>
            <w:vAlign w:val="bottom"/>
          </w:tcPr>
          <w:p>
            <w:pPr>
              <w:ind w:left="140"/>
              <w:spacing w:after="0"/>
              <w:rPr>
                <w:sz w:val="20"/>
                <w:szCs w:val="20"/>
                <w:color w:val="auto"/>
              </w:rPr>
            </w:pPr>
            <w:r>
              <w:rPr>
                <w:rFonts w:ascii="Arial" w:cs="Arial" w:eastAsia="Arial" w:hAnsi="Arial"/>
                <w:sz w:val="13"/>
                <w:szCs w:val="13"/>
                <w:color w:val="auto"/>
              </w:rPr>
              <w:t>Other</w:t>
            </w: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rPr>
              <w:t>(3,872)</w:t>
            </w: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deferred tax liabilities</w:t>
            </w:r>
          </w:p>
        </w:tc>
        <w:tc>
          <w:tcPr>
            <w:tcW w:w="4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(3,872)</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current deferred tax assets</w:t>
            </w:r>
          </w:p>
        </w:tc>
        <w:tc>
          <w:tcPr>
            <w:tcW w:w="44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34,205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9"/>
        </w:trPr>
        <w:tc>
          <w:tcPr>
            <w:tcW w:w="6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420" w:type="dxa"/>
            <w:vAlign w:val="bottom"/>
          </w:tcPr>
          <w:p>
            <w:pPr>
              <w:ind w:left="1000"/>
              <w:spacing w:after="0"/>
              <w:rPr>
                <w:sz w:val="20"/>
                <w:szCs w:val="20"/>
                <w:color w:val="auto"/>
              </w:rPr>
            </w:pPr>
            <w:r>
              <w:rPr>
                <w:rFonts w:ascii="Arial" w:cs="Arial" w:eastAsia="Arial" w:hAnsi="Arial"/>
                <w:sz w:val="13"/>
                <w:szCs w:val="13"/>
                <w:color w:val="auto"/>
              </w:rPr>
              <w:t>F-31</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Non-current assets: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Benefits and compensation</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9,616</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9,790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compensation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19,770</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19,650</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389</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805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 carryforwards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35,223</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38,056</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Financing costs</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4,493</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8,517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 &amp; state tax credits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1,705</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2,801</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5,143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non-current deferred tax assets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73,997</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84,094</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Less valuation allowance</w:t>
            </w:r>
          </w:p>
        </w:tc>
        <w:tc>
          <w:tcPr>
            <w:tcW w:w="160" w:type="dxa"/>
            <w:vAlign w:val="bottom"/>
          </w:tcPr>
          <w:p>
            <w:pPr>
              <w:spacing w:after="0"/>
              <w:rPr>
                <w:sz w:val="13"/>
                <w:szCs w:val="13"/>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(35,782)</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(35,628)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Non-current deferred tax assets after valuation allowance</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38,215</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48,466</w:t>
            </w:r>
          </w:p>
        </w:tc>
        <w:tc>
          <w:tcPr>
            <w:tcW w:w="0" w:type="dxa"/>
            <w:vAlign w:val="bottom"/>
          </w:tcPr>
          <w:p>
            <w:pPr>
              <w:spacing w:after="0"/>
              <w:rPr>
                <w:sz w:val="1"/>
                <w:szCs w:val="1"/>
                <w:color w:val="auto"/>
              </w:rPr>
            </w:pPr>
          </w:p>
        </w:tc>
      </w:tr>
      <w:tr>
        <w:trPr>
          <w:trHeight w:val="166"/>
        </w:trPr>
        <w:tc>
          <w:tcPr>
            <w:tcW w:w="8100" w:type="dxa"/>
            <w:vAlign w:val="bottom"/>
          </w:tcPr>
          <w:p>
            <w:pPr>
              <w:spacing w:after="0"/>
              <w:rPr>
                <w:sz w:val="20"/>
                <w:szCs w:val="20"/>
                <w:color w:val="auto"/>
              </w:rPr>
            </w:pPr>
            <w:r>
              <w:rPr>
                <w:rFonts w:ascii="Arial" w:cs="Arial" w:eastAsia="Arial" w:hAnsi="Arial"/>
                <w:sz w:val="13"/>
                <w:szCs w:val="13"/>
                <w:b w:val="1"/>
                <w:bCs w:val="1"/>
                <w:color w:val="auto"/>
              </w:rPr>
              <w:t>Non-current liabilities: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&amp; fixed assets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(31,751)</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(28,319)</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Deferred gain</w:t>
            </w:r>
          </w:p>
        </w:tc>
        <w:tc>
          <w:tcPr>
            <w:tcW w:w="160" w:type="dxa"/>
            <w:vAlign w:val="bottom"/>
          </w:tcPr>
          <w:p>
            <w:pPr>
              <w:spacing w:after="0"/>
              <w:rPr>
                <w:sz w:val="13"/>
                <w:szCs w:val="13"/>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(449)</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(351)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interest amortization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(4,713)</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(8,502)</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(4,053)</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(4,786)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non current deferred tax liabilities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(40,966)</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(41,958)</w:t>
            </w:r>
          </w:p>
        </w:tc>
        <w:tc>
          <w:tcPr>
            <w:tcW w:w="0" w:type="dxa"/>
            <w:vAlign w:val="bottom"/>
          </w:tcPr>
          <w:p>
            <w:pPr>
              <w:spacing w:after="0"/>
              <w:rPr>
                <w:sz w:val="1"/>
                <w:szCs w:val="1"/>
                <w:color w:val="auto"/>
              </w:rPr>
            </w:pPr>
          </w:p>
        </w:tc>
      </w:tr>
      <w:tr>
        <w:trPr>
          <w:trHeight w:val="29"/>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Net non-current deferred tax assets/(liabilities)</w:t>
            </w: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(2,751)</w:t>
            </w:r>
          </w:p>
        </w:tc>
        <w:tc>
          <w:tcPr>
            <w:tcW w:w="1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6,508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net deferred tax assets/(liabilities)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31,454</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35,405</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valuation allowance of $36.6 million, $36.1 million and $36.0 million is recorded against the Company’s gross deferred tax assets of $112.9 million, $114.0 million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$114.4 million recorded at December 31, 2010, 2009 and 2008, respectively. This valuation allowance relates to deferred tax assets for certain items that will be deductible for income tax</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purposes under very limited circumstances and for which the Company believes it is not more likely than not that it will realize the associated tax benefit. The Company does not anticipate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additional income tax benefits through future reductions in the valuation allowance. However, in the event that the Company determines that it would be able to realize more or less than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recorded amount of net deferred tax assets, an adjustment to the deferred tax asset valuation allowance would be recorded in the period such a determination is made.</w:t>
      </w:r>
    </w:p>
    <w:p>
      <w:pPr>
        <w:spacing w:after="0" w:line="89"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The Company’s valuation allowance increased by $0.5 million in 2010 and increased by $0.1 million in 2009. The movement for both years was mainly the result of future realizability of net operating losses.</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In conjunction with the 2008 Notes, the Company had previously recognized a deferred tax liability related to the conversion feature of the debt. As a result of the repayment of the 2008 Notes, the Company reversed the remaining balance of the deferred tax liability which resulted in the recognition of a $2.4 million valuation allowance on a deferred tax asset, a $4.8 million increase to current income taxes payable and $11.5 million of additional paid-in capital for the year ended December 31, 2008.</w:t>
      </w:r>
    </w:p>
    <w:p>
      <w:pPr>
        <w:spacing w:after="0" w:line="9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Company adopted the authoritative guidance on accounting for uncertainty in income taxes on January 1, 2007. A reconciliation of the beginning and ending amount of uncertain tax benefits is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2010</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131"/>
        </w:trPr>
        <w:tc>
          <w:tcPr>
            <w:tcW w:w="7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Balance, beginning of year</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10,909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8,833</w:t>
            </w: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Additions for tax positions of prior years</w:t>
            </w:r>
          </w:p>
        </w:tc>
        <w:tc>
          <w:tcPr>
            <w:tcW w:w="1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1,685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3,785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948</w:t>
            </w: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Settlements</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(5,264)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Lapse of statute</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(1,800)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(1,909)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(748)</w:t>
            </w:r>
          </w:p>
        </w:tc>
      </w:tr>
      <w:tr>
        <w:trPr>
          <w:trHeight w:val="20"/>
        </w:trPr>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Balance, end of year</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5,530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9,033</w:t>
            </w:r>
          </w:p>
        </w:tc>
      </w:tr>
      <w:tr>
        <w:trPr>
          <w:trHeight w:val="29"/>
        </w:trPr>
        <w:tc>
          <w:tcPr>
            <w:tcW w:w="7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balance of approximately $5.5 million at December 31, 2010 relates to uncertain tax positions that, if recognized, would affect the annual effective tax rate. Included in the balance of uncertain tax positions at December 31, 2010 is $3.2 million related to tax positions for which it is reasonably possible that the total amounts could significantly change during the twelve months following December 31, 2010, as a result of expiring statutes of limitations.</w:t>
      </w:r>
    </w:p>
    <w:p>
      <w:pPr>
        <w:spacing w:after="0" w:line="67"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The Company recognizes interest and penalties relating to uncertain tax positions in income tax expense. During the year ended December 31, 2010, the Company recognized a net benefit of approximately $0.9 million in interest and penalties which was reflected in the income statement. During the year ended December 31, 2009, the Company recognized approximately $0.5 million in interest and penalties, all of which was reflected in the income statement. During the year ended December 31, 2008, the Company recognized approximately $0.5 million in interest and penalties of which $0.7 million was reflected in the consolidated statement of operations and $0.2 million was a balance sheet adjustment. The Company had approximately $2.1 million, $3.0 million and $2.5 million of interest and penalties accrued at December 31, 2010, 2009 and 2008, respectively.</w:t>
      </w:r>
    </w:p>
    <w:p>
      <w:pPr>
        <w:spacing w:after="0" w:line="55"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At December 31, 2009 the Federal income tax returns for the years 2005 through 2007 were under review by the Internal Revenue Service (the “IRS”) and the Company had accrued $8.5 million for uncertain tax positions at that time. During 2010, the scope of this review was expanded to include the 2008 tax year as well. During 2010, the Company settled the review for the years 2005 to 2007 with the IRS which resulted in $4.0 million in taxes being reclassified from long-term liabilities to current taxes payable and deferred taxes, and $4.5 million being recorded in the consolidated statement of operations as an income tax benefit. This settlement is currently in Joint Committee with the IRS which is an administrative procedure that is customary with settlements of this size. These amounts include interest and penalties related to the settlement and tax benefit.</w:t>
      </w:r>
    </w:p>
    <w:p>
      <w:pPr>
        <w:spacing w:after="0" w:line="5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files Federal income tax returns, as well as multiple state, local and foreign jurisdiction tax returns. The Company is no longer subject to examinations of its Federal income tax returns by the IRS through fiscal year 2004 and as noted above, 2005 through 2007 are currently being reviewed by Joint Committee. All significant state and local matters have been concluded through fiscal 2004. All significant foreign matters have been settled through fiscal 2003.</w:t>
      </w:r>
    </w:p>
    <w:p>
      <w:pPr>
        <w:spacing w:after="0" w:line="142" w:lineRule="exact"/>
        <w:rPr>
          <w:sz w:val="20"/>
          <w:szCs w:val="20"/>
          <w:color w:val="auto"/>
        </w:rPr>
      </w:pPr>
    </w:p>
    <w:p>
      <w:pPr>
        <w:ind w:left="1180" w:hanging="493"/>
        <w:spacing w:after="0"/>
        <w:tabs>
          <w:tab w:leader="none" w:pos="118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NET INCOME PER SHARE</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January 2009 the Company adopted the authoritative guidance related to determining whether instruments issued in share-based payment transactions are participating securities. Certain of the Company’s unvested restricted share units contain rights to receive nonforfeitable dividends, and thus, are participating securities requiring the two-class method of computing earnings per share. The participating securities had an insignificant impact on the calculation of earnings per share (impacts the rounding by $0.01 or less per share); therefore, the Company does not present the full calculation below.</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Amounts used in the calculation of basic and diluted net income per share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5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3"/>
          </w:tcPr>
          <w:p>
            <w:pPr>
              <w:jc w:val="center"/>
              <w:ind w:left="261"/>
              <w:spacing w:after="0" w:line="81" w:lineRule="exact"/>
              <w:rPr>
                <w:sz w:val="20"/>
                <w:szCs w:val="20"/>
                <w:color w:val="auto"/>
              </w:rPr>
            </w:pPr>
            <w:r>
              <w:rPr>
                <w:rFonts w:ascii="Arial" w:cs="Arial" w:eastAsia="Arial" w:hAnsi="Arial"/>
                <w:sz w:val="9"/>
                <w:szCs w:val="9"/>
                <w:b w:val="1"/>
                <w:bCs w:val="1"/>
                <w:color w:val="auto"/>
              </w:rPr>
              <w:t>(In thousands,</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2"/>
              </w:rPr>
              <w:t>except per share amounts)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common share:</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65,669</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50,955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27,727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29,548</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29,038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27,781</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Basic net income per common share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2.21</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1.75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0.98</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Diluted net income per common share:</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65,669</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50,955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27,727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 — Basic</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29,548</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29,038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27,781</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Effect of dilutive securities: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and restricted stock</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601</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Weighted average common shares for diluted earnings per share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30,149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29,292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28,378</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Diluted net income per common share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0.96</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Common stock of approximately 691,000 shares, 2,097,000 shares and 530,000 shares at December 31, 2010, 2009 and 2008, respectively, that are issuable through exercise or conversion of dilutive securities were not included in the computation of diluted net income per share because their effect would have been antidilutive.</w:t>
      </w:r>
    </w:p>
    <w:p>
      <w:pPr>
        <w:spacing w:after="0" w:line="35"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Performance Shares and Restricted Units that entitle the holders to approximately 1,400,000 shares of common stock are included in the basic and diluted weighted average shares outstanding calculation from their date of issuance because no further consideration is due related to the issuance of the underlying common shares.</w:t>
      </w:r>
    </w:p>
    <w:p>
      <w:pPr>
        <w:spacing w:after="0" w:line="110" w:lineRule="exact"/>
        <w:rPr>
          <w:sz w:val="20"/>
          <w:szCs w:val="20"/>
          <w:color w:val="auto"/>
        </w:rPr>
      </w:pPr>
    </w:p>
    <w:p>
      <w:pPr>
        <w:ind w:left="1180" w:hanging="493"/>
        <w:spacing w:after="0"/>
        <w:tabs>
          <w:tab w:leader="none" w:pos="118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Various lawsuits, claims and proceedings are pending or have been settled by the Company. The most significant of these are described below.</w:t>
      </w:r>
    </w:p>
    <w:p>
      <w:pPr>
        <w:spacing w:after="0" w:line="96"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In January 2010, the Company received a notice from the seller’s representative of the former Theken companies of a disagreement in the calculation of “trade sales” used in calculating a revenue performance payment that the Company made in November 2009 related to the first performance year that ended September 30, 2009. The notice alleged that the Company owed an additional $6.7 million. In January 2011, the Company received a notice from the seller’s representative that the alleged amount owed had been reduced to $5.7 million. The Company is currently discussing this matter with the seller’s representative in an attempt to resolve the dispute in accordance with the provisions contained in the asset purchase agreement governing the transaction. The Company has accrued $3.4 million at December 31, 2010 for the settlement in this matter. The Company believes that there are no additional amounts due under the asset purchase agreement for the second performance year that ended September 30, 2010.</w:t>
      </w:r>
    </w:p>
    <w:p>
      <w:pPr>
        <w:spacing w:after="0" w:line="59"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Company has various product liability claims pending against it for which it currently has accruals totaling $2.1 million recorded in the financial statements. All matters are covered by the Company’s insurance policies and it has recorded a corresponding receivable. Therefore, there is no impact on the Company’s consolidated statements of operations.</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00" w:firstLine="399"/>
        <w:spacing w:after="0" w:line="260" w:lineRule="auto"/>
        <w:rPr>
          <w:sz w:val="20"/>
          <w:szCs w:val="20"/>
          <w:color w:val="auto"/>
        </w:rPr>
      </w:pPr>
      <w:r>
        <w:rPr>
          <w:rFonts w:ascii="Arial" w:cs="Arial" w:eastAsia="Arial" w:hAnsi="Arial"/>
          <w:sz w:val="13"/>
          <w:szCs w:val="13"/>
          <w:color w:val="auto"/>
        </w:rPr>
        <w:t>In addition to these matters, we are subject to various claims, lawsuits and proceedings in the ordinary course of the Company’s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70"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24" w:lineRule="exact"/>
        <w:rPr>
          <w:sz w:val="20"/>
          <w:szCs w:val="20"/>
          <w:color w:val="auto"/>
        </w:rPr>
      </w:pPr>
    </w:p>
    <w:p>
      <w:pPr>
        <w:ind w:left="1180" w:hanging="493"/>
        <w:spacing w:after="0"/>
        <w:tabs>
          <w:tab w:leader="none" w:pos="118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GEOGRAPHIC INFORMATION</w:t>
      </w:r>
    </w:p>
    <w:p>
      <w:pPr>
        <w:spacing w:after="0" w:line="10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consisted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3"/>
              </w:rPr>
              <w:t>Years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Orthopedics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290,050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262,170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217,953</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Neurosurgery</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275,046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256,544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256,869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Instruments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166,972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163,773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179,782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Total revenue, net</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732,068</w:t>
            </w:r>
          </w:p>
        </w:tc>
        <w:tc>
          <w:tcPr>
            <w:tcW w:w="5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682,487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654,604</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380" w:firstLine="399"/>
        <w:spacing w:after="0" w:line="276" w:lineRule="auto"/>
        <w:rPr>
          <w:sz w:val="20"/>
          <w:szCs w:val="20"/>
          <w:color w:val="auto"/>
        </w:rPr>
      </w:pPr>
      <w:r>
        <w:rPr>
          <w:rFonts w:ascii="Arial" w:cs="Arial" w:eastAsia="Arial" w:hAnsi="Arial"/>
          <w:sz w:val="13"/>
          <w:szCs w:val="13"/>
          <w:color w:val="auto"/>
        </w:rPr>
        <w:t>The Company attributes revenue to geographic areas based on the location of the customer. Total revenue, net and long-lived assets (tangible) by major geographic area are summarized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United</w:t>
            </w:r>
          </w:p>
        </w:tc>
        <w:tc>
          <w:tcPr>
            <w:tcW w:w="10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Europe</w:t>
            </w:r>
          </w:p>
        </w:tc>
        <w:tc>
          <w:tcPr>
            <w:tcW w:w="120" w:type="dxa"/>
            <w:vAlign w:val="bottom"/>
          </w:tcPr>
          <w:p>
            <w:pPr>
              <w:spacing w:after="0"/>
              <w:rPr>
                <w:sz w:val="10"/>
                <w:szCs w:val="10"/>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Asia</w:t>
            </w:r>
          </w:p>
        </w:tc>
        <w:tc>
          <w:tcPr>
            <w:tcW w:w="100" w:type="dxa"/>
            <w:vAlign w:val="bottom"/>
          </w:tcPr>
          <w:p>
            <w:pPr>
              <w:spacing w:after="0"/>
              <w:rPr>
                <w:sz w:val="10"/>
                <w:szCs w:val="10"/>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w w:val="97"/>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States</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Pacific</w:t>
            </w:r>
          </w:p>
        </w:tc>
        <w:tc>
          <w:tcPr>
            <w:tcW w:w="100" w:type="dxa"/>
            <w:vAlign w:val="bottom"/>
          </w:tcPr>
          <w:p>
            <w:pPr>
              <w:spacing w:after="0"/>
              <w:rPr>
                <w:sz w:val="10"/>
                <w:szCs w:val="10"/>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Foreign</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4"/>
              </w:rPr>
              <w:t>(In thousands)</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Total revenue, net:</w:t>
            </w: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tcPr>
          <w:p>
            <w:pPr>
              <w:ind w:left="140"/>
              <w:spacing w:after="0"/>
              <w:rPr>
                <w:sz w:val="20"/>
                <w:szCs w:val="20"/>
                <w:color w:val="auto"/>
              </w:rPr>
            </w:pPr>
            <w:r>
              <w:rPr>
                <w:rFonts w:ascii="Arial" w:cs="Arial" w:eastAsia="Arial" w:hAnsi="Arial"/>
                <w:sz w:val="13"/>
                <w:szCs w:val="13"/>
                <w:color w:val="auto"/>
              </w:rPr>
              <w:t>2010</w:t>
            </w:r>
          </w:p>
        </w:tc>
        <w:tc>
          <w:tcPr>
            <w:tcW w:w="20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561,240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89,381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40,584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40,863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732,068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2009</w:t>
            </w: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519,203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93,414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32,788</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37,082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682,487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tcPr>
          <w:p>
            <w:pPr>
              <w:ind w:left="140"/>
              <w:spacing w:after="0"/>
              <w:rPr>
                <w:sz w:val="20"/>
                <w:szCs w:val="20"/>
                <w:color w:val="auto"/>
              </w:rPr>
            </w:pPr>
            <w:r>
              <w:rPr>
                <w:rFonts w:ascii="Arial" w:cs="Arial" w:eastAsia="Arial" w:hAnsi="Arial"/>
                <w:sz w:val="13"/>
                <w:szCs w:val="13"/>
                <w:color w:val="auto"/>
              </w:rPr>
              <w:t>2008</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494,459</w:t>
            </w:r>
          </w:p>
        </w:tc>
        <w:tc>
          <w:tcPr>
            <w:tcW w:w="10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98,848</w:t>
            </w: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28,509</w:t>
            </w: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32,788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654,604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tcPr>
          <w:p>
            <w:pPr>
              <w:ind w:left="140"/>
              <w:spacing w:after="0"/>
              <w:rPr>
                <w:sz w:val="20"/>
                <w:szCs w:val="20"/>
                <w:color w:val="auto"/>
              </w:rPr>
            </w:pPr>
            <w:r>
              <w:rPr>
                <w:rFonts w:ascii="Arial" w:cs="Arial" w:eastAsia="Arial" w:hAnsi="Arial"/>
                <w:sz w:val="13"/>
                <w:szCs w:val="13"/>
                <w:color w:val="auto"/>
              </w:rPr>
              <w:t>December 31, 2010</w:t>
            </w:r>
          </w:p>
        </w:tc>
        <w:tc>
          <w:tcPr>
            <w:tcW w:w="20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81,496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25,885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352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107,733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December 31, 2009</w:t>
            </w: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61,527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24,202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85,840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20" w:type="dxa"/>
            <w:vAlign w:val="bottom"/>
            <w:gridSpan w:val="4"/>
          </w:tcPr>
          <w:p>
            <w:pPr>
              <w:jc w:val="right"/>
              <w:ind w:right="920"/>
              <w:spacing w:after="0"/>
              <w:rPr>
                <w:sz w:val="20"/>
                <w:szCs w:val="20"/>
                <w:color w:val="auto"/>
              </w:rPr>
            </w:pPr>
            <w:r>
              <w:rPr>
                <w:rFonts w:ascii="Arial" w:cs="Arial" w:eastAsia="Arial" w:hAnsi="Arial"/>
                <w:sz w:val="13"/>
                <w:szCs w:val="13"/>
                <w:color w:val="auto"/>
              </w:rPr>
              <w:t>F-35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SELECTED QUARTERLY INFORMATION — UNAUDITED</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First</w:t>
            </w:r>
          </w:p>
        </w:tc>
        <w:tc>
          <w:tcPr>
            <w:tcW w:w="120" w:type="dxa"/>
            <w:vAlign w:val="bottom"/>
          </w:tcPr>
          <w:p>
            <w:pPr>
              <w:spacing w:after="0"/>
              <w:rPr>
                <w:sz w:val="10"/>
                <w:szCs w:val="10"/>
                <w:color w:val="auto"/>
              </w:rPr>
            </w:pPr>
          </w:p>
        </w:tc>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Second</w:t>
            </w:r>
          </w:p>
        </w:tc>
        <w:tc>
          <w:tcPr>
            <w:tcW w:w="120" w:type="dxa"/>
            <w:vAlign w:val="bottom"/>
          </w:tcPr>
          <w:p>
            <w:pPr>
              <w:spacing w:after="0"/>
              <w:rPr>
                <w:sz w:val="10"/>
                <w:szCs w:val="10"/>
                <w:color w:val="auto"/>
              </w:rPr>
            </w:pPr>
          </w:p>
        </w:tc>
        <w:tc>
          <w:tcPr>
            <w:tcW w:w="960" w:type="dxa"/>
            <w:vAlign w:val="bottom"/>
            <w:gridSpan w:val="2"/>
          </w:tcPr>
          <w:p>
            <w:pPr>
              <w:ind w:left="100"/>
              <w:spacing w:after="0"/>
              <w:rPr>
                <w:sz w:val="20"/>
                <w:szCs w:val="20"/>
                <w:color w:val="auto"/>
              </w:rPr>
            </w:pPr>
            <w:r>
              <w:rPr>
                <w:rFonts w:ascii="Arial" w:cs="Arial" w:eastAsia="Arial" w:hAnsi="Arial"/>
                <w:sz w:val="10"/>
                <w:szCs w:val="10"/>
                <w:b w:val="1"/>
                <w:bCs w:val="1"/>
                <w:color w:val="auto"/>
              </w:rPr>
              <w:t>Third</w:t>
            </w:r>
          </w:p>
        </w:tc>
        <w:tc>
          <w:tcPr>
            <w:tcW w:w="120" w:type="dxa"/>
            <w:vAlign w:val="bottom"/>
          </w:tcPr>
          <w:p>
            <w:pPr>
              <w:spacing w:after="0"/>
              <w:rPr>
                <w:sz w:val="10"/>
                <w:szCs w:val="10"/>
                <w:color w:val="auto"/>
              </w:rPr>
            </w:pPr>
          </w:p>
        </w:tc>
        <w:tc>
          <w:tcPr>
            <w:tcW w:w="1140" w:type="dxa"/>
            <w:vAlign w:val="bottom"/>
            <w:gridSpan w:val="2"/>
          </w:tcPr>
          <w:p>
            <w:pPr>
              <w:ind w:left="80"/>
              <w:spacing w:after="0"/>
              <w:rPr>
                <w:sz w:val="20"/>
                <w:szCs w:val="20"/>
                <w:color w:val="auto"/>
              </w:rPr>
            </w:pPr>
            <w:r>
              <w:rPr>
                <w:rFonts w:ascii="Arial" w:cs="Arial" w:eastAsia="Arial" w:hAnsi="Arial"/>
                <w:sz w:val="10"/>
                <w:szCs w:val="10"/>
                <w:b w:val="1"/>
                <w:bCs w:val="1"/>
                <w:color w:val="auto"/>
              </w:rPr>
              <w:t>Fourth</w:t>
            </w:r>
          </w:p>
        </w:tc>
      </w:tr>
      <w:tr>
        <w:trPr>
          <w:trHeight w:val="125"/>
        </w:trPr>
        <w:tc>
          <w:tcPr>
            <w:tcW w:w="13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rPr>
              <w:t>Quarter</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Quarter</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Quarter</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Quarter</w:t>
            </w:r>
          </w:p>
        </w:tc>
        <w:tc>
          <w:tcPr>
            <w:tcW w:w="56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0"/>
                <w:szCs w:val="10"/>
                <w:b w:val="1"/>
                <w:bCs w:val="1"/>
                <w:color w:val="auto"/>
                <w:w w:val="99"/>
              </w:rPr>
              <w:t>(In thousands,</w:t>
            </w:r>
          </w:p>
        </w:tc>
        <w:tc>
          <w:tcPr>
            <w:tcW w:w="1080" w:type="dxa"/>
            <w:vAlign w:val="bottom"/>
            <w:gridSpan w:val="3"/>
          </w:tcPr>
          <w:p>
            <w:pPr>
              <w:jc w:val="right"/>
              <w:spacing w:after="0"/>
              <w:rPr>
                <w:sz w:val="20"/>
                <w:szCs w:val="20"/>
                <w:color w:val="auto"/>
              </w:rPr>
            </w:pPr>
            <w:r>
              <w:rPr>
                <w:rFonts w:ascii="Arial" w:cs="Arial" w:eastAsia="Arial" w:hAnsi="Arial"/>
                <w:sz w:val="10"/>
                <w:szCs w:val="10"/>
                <w:b w:val="1"/>
                <w:bCs w:val="1"/>
                <w:color w:val="auto"/>
                <w:w w:val="94"/>
              </w:rPr>
              <w:t>except per share data)</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3"/>
        </w:trPr>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 net: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57"/>
        </w:trPr>
        <w:tc>
          <w:tcPr>
            <w:tcW w:w="1300" w:type="dxa"/>
            <w:vAlign w:val="bottom"/>
          </w:tcPr>
          <w:p>
            <w:pPr>
              <w:jc w:val="right"/>
              <w:ind w:right="834"/>
              <w:spacing w:after="0"/>
              <w:rPr>
                <w:sz w:val="20"/>
                <w:szCs w:val="20"/>
                <w:color w:val="auto"/>
              </w:rPr>
            </w:pPr>
            <w:r>
              <w:rPr>
                <w:rFonts w:ascii="Arial" w:cs="Arial" w:eastAsia="Arial" w:hAnsi="Arial"/>
                <w:sz w:val="13"/>
                <w:szCs w:val="13"/>
                <w:color w:val="auto"/>
              </w:rPr>
              <w:t>2010</w:t>
            </w:r>
          </w:p>
        </w:tc>
        <w:tc>
          <w:tcPr>
            <w:tcW w:w="41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172,698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28"/>
              <w:spacing w:after="0"/>
              <w:rPr>
                <w:sz w:val="20"/>
                <w:szCs w:val="20"/>
                <w:color w:val="auto"/>
              </w:rPr>
            </w:pPr>
            <w:r>
              <w:rPr>
                <w:rFonts w:ascii="Arial" w:cs="Arial" w:eastAsia="Arial" w:hAnsi="Arial"/>
                <w:sz w:val="13"/>
                <w:szCs w:val="13"/>
                <w:color w:val="auto"/>
              </w:rPr>
              <w:t>178,595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186,641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560"/>
              <w:spacing w:after="0"/>
              <w:rPr>
                <w:sz w:val="20"/>
                <w:szCs w:val="20"/>
                <w:color w:val="auto"/>
              </w:rPr>
            </w:pPr>
            <w:r>
              <w:rPr>
                <w:rFonts w:ascii="Arial" w:cs="Arial" w:eastAsia="Arial" w:hAnsi="Arial"/>
                <w:sz w:val="13"/>
                <w:szCs w:val="13"/>
                <w:color w:val="auto"/>
              </w:rPr>
              <w:t>194,134</w:t>
            </w:r>
          </w:p>
        </w:tc>
      </w:tr>
      <w:tr>
        <w:trPr>
          <w:trHeight w:val="157"/>
        </w:trPr>
        <w:tc>
          <w:tcPr>
            <w:tcW w:w="130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rPr>
              <w:t>2009</w:t>
            </w:r>
          </w:p>
        </w:tc>
        <w:tc>
          <w:tcPr>
            <w:tcW w:w="4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160,950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165,725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172,286</w:t>
            </w: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183,526</w:t>
            </w:r>
          </w:p>
        </w:tc>
      </w:tr>
      <w:tr>
        <w:trPr>
          <w:trHeight w:val="157"/>
        </w:trPr>
        <w:tc>
          <w:tcPr>
            <w:tcW w:w="5480" w:type="dxa"/>
            <w:vAlign w:val="bottom"/>
            <w:gridSpan w:val="2"/>
          </w:tcPr>
          <w:p>
            <w:pPr>
              <w:spacing w:after="0"/>
              <w:rPr>
                <w:sz w:val="20"/>
                <w:szCs w:val="20"/>
                <w:color w:val="auto"/>
              </w:rPr>
            </w:pPr>
            <w:r>
              <w:rPr>
                <w:rFonts w:ascii="Arial" w:cs="Arial" w:eastAsia="Arial" w:hAnsi="Arial"/>
                <w:sz w:val="13"/>
                <w:szCs w:val="13"/>
                <w:color w:val="auto"/>
              </w:rPr>
              <w:t>Gross margin:</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7"/>
        </w:trPr>
        <w:tc>
          <w:tcPr>
            <w:tcW w:w="130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rPr>
              <w:t>2010</w:t>
            </w:r>
          </w:p>
        </w:tc>
        <w:tc>
          <w:tcPr>
            <w:tcW w:w="41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109,474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114,131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117,447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122,828</w:t>
            </w:r>
          </w:p>
        </w:tc>
      </w:tr>
      <w:tr>
        <w:trPr>
          <w:trHeight w:val="157"/>
        </w:trPr>
        <w:tc>
          <w:tcPr>
            <w:tcW w:w="1300" w:type="dxa"/>
            <w:vAlign w:val="bottom"/>
          </w:tcPr>
          <w:p>
            <w:pPr>
              <w:jc w:val="right"/>
              <w:ind w:right="834"/>
              <w:spacing w:after="0"/>
              <w:rPr>
                <w:sz w:val="20"/>
                <w:szCs w:val="20"/>
                <w:color w:val="auto"/>
              </w:rPr>
            </w:pPr>
            <w:r>
              <w:rPr>
                <w:rFonts w:ascii="Arial" w:cs="Arial" w:eastAsia="Arial" w:hAnsi="Arial"/>
                <w:sz w:val="13"/>
                <w:szCs w:val="13"/>
                <w:color w:val="auto"/>
              </w:rPr>
              <w:t>2009</w:t>
            </w:r>
          </w:p>
        </w:tc>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102,802</w:t>
            </w:r>
          </w:p>
        </w:tc>
        <w:tc>
          <w:tcPr>
            <w:tcW w:w="120" w:type="dxa"/>
            <w:vAlign w:val="bottom"/>
          </w:tcPr>
          <w:p>
            <w:pPr>
              <w:spacing w:after="0"/>
              <w:rPr>
                <w:sz w:val="13"/>
                <w:szCs w:val="13"/>
                <w:color w:val="auto"/>
              </w:rPr>
            </w:pPr>
          </w:p>
        </w:tc>
        <w:tc>
          <w:tcPr>
            <w:tcW w:w="960" w:type="dxa"/>
            <w:vAlign w:val="bottom"/>
            <w:gridSpan w:val="2"/>
          </w:tcPr>
          <w:p>
            <w:pPr>
              <w:jc w:val="right"/>
              <w:ind w:right="328"/>
              <w:spacing w:after="0"/>
              <w:rPr>
                <w:sz w:val="20"/>
                <w:szCs w:val="20"/>
                <w:color w:val="auto"/>
              </w:rPr>
            </w:pPr>
            <w:r>
              <w:rPr>
                <w:rFonts w:ascii="Arial" w:cs="Arial" w:eastAsia="Arial" w:hAnsi="Arial"/>
                <w:sz w:val="13"/>
                <w:szCs w:val="13"/>
                <w:color w:val="auto"/>
              </w:rPr>
              <w:t>105,921</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109,265</w:t>
            </w:r>
          </w:p>
        </w:tc>
        <w:tc>
          <w:tcPr>
            <w:tcW w:w="120" w:type="dxa"/>
            <w:vAlign w:val="bottom"/>
          </w:tcPr>
          <w:p>
            <w:pPr>
              <w:spacing w:after="0"/>
              <w:rPr>
                <w:sz w:val="13"/>
                <w:szCs w:val="13"/>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3"/>
                <w:szCs w:val="13"/>
                <w:color w:val="auto"/>
              </w:rPr>
              <w:t>119,581</w:t>
            </w:r>
          </w:p>
        </w:tc>
      </w:tr>
      <w:tr>
        <w:trPr>
          <w:trHeight w:val="157"/>
        </w:trPr>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7"/>
        </w:trPr>
        <w:tc>
          <w:tcPr>
            <w:tcW w:w="1300" w:type="dxa"/>
            <w:vAlign w:val="bottom"/>
          </w:tcPr>
          <w:p>
            <w:pPr>
              <w:jc w:val="right"/>
              <w:ind w:right="834"/>
              <w:spacing w:after="0"/>
              <w:rPr>
                <w:sz w:val="20"/>
                <w:szCs w:val="20"/>
                <w:color w:val="auto"/>
              </w:rPr>
            </w:pPr>
            <w:r>
              <w:rPr>
                <w:rFonts w:ascii="Arial" w:cs="Arial" w:eastAsia="Arial" w:hAnsi="Arial"/>
                <w:sz w:val="13"/>
                <w:szCs w:val="13"/>
                <w:color w:val="auto"/>
              </w:rPr>
              <w:t>2010</w:t>
            </w:r>
          </w:p>
        </w:tc>
        <w:tc>
          <w:tcPr>
            <w:tcW w:w="41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15,222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28"/>
              <w:spacing w:after="0"/>
              <w:rPr>
                <w:sz w:val="20"/>
                <w:szCs w:val="20"/>
                <w:color w:val="auto"/>
              </w:rPr>
            </w:pPr>
            <w:r>
              <w:rPr>
                <w:rFonts w:ascii="Arial" w:cs="Arial" w:eastAsia="Arial" w:hAnsi="Arial"/>
                <w:sz w:val="13"/>
                <w:szCs w:val="13"/>
                <w:color w:val="auto"/>
              </w:rPr>
              <w:t>15,157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16,483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560"/>
              <w:spacing w:after="0"/>
              <w:rPr>
                <w:sz w:val="20"/>
                <w:szCs w:val="20"/>
                <w:color w:val="auto"/>
              </w:rPr>
            </w:pPr>
            <w:r>
              <w:rPr>
                <w:rFonts w:ascii="Arial" w:cs="Arial" w:eastAsia="Arial" w:hAnsi="Arial"/>
                <w:sz w:val="13"/>
                <w:szCs w:val="13"/>
                <w:color w:val="auto"/>
              </w:rPr>
              <w:t>18,807</w:t>
            </w:r>
          </w:p>
        </w:tc>
      </w:tr>
      <w:tr>
        <w:trPr>
          <w:trHeight w:val="157"/>
        </w:trPr>
        <w:tc>
          <w:tcPr>
            <w:tcW w:w="130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rPr>
              <w:t>2009</w:t>
            </w:r>
          </w:p>
        </w:tc>
        <w:tc>
          <w:tcPr>
            <w:tcW w:w="4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9,567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11,225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14,432</w:t>
            </w: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15,731</w:t>
            </w:r>
          </w:p>
        </w:tc>
      </w:tr>
      <w:tr>
        <w:trPr>
          <w:trHeight w:val="157"/>
        </w:trPr>
        <w:tc>
          <w:tcPr>
            <w:tcW w:w="5480" w:type="dxa"/>
            <w:vAlign w:val="bottom"/>
            <w:gridSpan w:val="2"/>
          </w:tcPr>
          <w:p>
            <w:pPr>
              <w:spacing w:after="0"/>
              <w:rPr>
                <w:sz w:val="20"/>
                <w:szCs w:val="20"/>
                <w:color w:val="auto"/>
              </w:rPr>
            </w:pPr>
            <w:r>
              <w:rPr>
                <w:rFonts w:ascii="Arial" w:cs="Arial" w:eastAsia="Arial" w:hAnsi="Arial"/>
                <w:sz w:val="13"/>
                <w:szCs w:val="13"/>
                <w:color w:val="auto"/>
              </w:rPr>
              <w:t>Basic net income (loss) per common share(1):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7"/>
        </w:trPr>
        <w:tc>
          <w:tcPr>
            <w:tcW w:w="130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rPr>
              <w:t>2010</w:t>
            </w:r>
          </w:p>
        </w:tc>
        <w:tc>
          <w:tcPr>
            <w:tcW w:w="41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0.51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0.64</w:t>
            </w:r>
          </w:p>
        </w:tc>
      </w:tr>
      <w:tr>
        <w:trPr>
          <w:trHeight w:val="157"/>
        </w:trPr>
        <w:tc>
          <w:tcPr>
            <w:tcW w:w="1300" w:type="dxa"/>
            <w:vAlign w:val="bottom"/>
          </w:tcPr>
          <w:p>
            <w:pPr>
              <w:jc w:val="right"/>
              <w:ind w:right="834"/>
              <w:spacing w:after="0"/>
              <w:rPr>
                <w:sz w:val="20"/>
                <w:szCs w:val="20"/>
                <w:color w:val="auto"/>
              </w:rPr>
            </w:pPr>
            <w:r>
              <w:rPr>
                <w:rFonts w:ascii="Arial" w:cs="Arial" w:eastAsia="Arial" w:hAnsi="Arial"/>
                <w:sz w:val="13"/>
                <w:szCs w:val="13"/>
                <w:color w:val="auto"/>
              </w:rPr>
              <w:t>2009</w:t>
            </w:r>
          </w:p>
        </w:tc>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0.33</w:t>
            </w:r>
          </w:p>
        </w:tc>
        <w:tc>
          <w:tcPr>
            <w:tcW w:w="120" w:type="dxa"/>
            <w:vAlign w:val="bottom"/>
          </w:tcPr>
          <w:p>
            <w:pPr>
              <w:spacing w:after="0"/>
              <w:rPr>
                <w:sz w:val="13"/>
                <w:szCs w:val="13"/>
                <w:color w:val="auto"/>
              </w:rPr>
            </w:pPr>
          </w:p>
        </w:tc>
        <w:tc>
          <w:tcPr>
            <w:tcW w:w="960" w:type="dxa"/>
            <w:vAlign w:val="bottom"/>
            <w:gridSpan w:val="2"/>
          </w:tcPr>
          <w:p>
            <w:pPr>
              <w:jc w:val="right"/>
              <w:ind w:right="328"/>
              <w:spacing w:after="0"/>
              <w:rPr>
                <w:sz w:val="20"/>
                <w:szCs w:val="20"/>
                <w:color w:val="auto"/>
              </w:rPr>
            </w:pPr>
            <w:r>
              <w:rPr>
                <w:rFonts w:ascii="Arial" w:cs="Arial" w:eastAsia="Arial" w:hAnsi="Arial"/>
                <w:sz w:val="13"/>
                <w:szCs w:val="13"/>
                <w:color w:val="auto"/>
              </w:rPr>
              <w:t>0.38</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0.49</w:t>
            </w:r>
          </w:p>
        </w:tc>
        <w:tc>
          <w:tcPr>
            <w:tcW w:w="120" w:type="dxa"/>
            <w:vAlign w:val="bottom"/>
          </w:tcPr>
          <w:p>
            <w:pPr>
              <w:spacing w:after="0"/>
              <w:rPr>
                <w:sz w:val="13"/>
                <w:szCs w:val="13"/>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3"/>
                <w:szCs w:val="13"/>
                <w:color w:val="auto"/>
              </w:rPr>
              <w:t>0.54</w:t>
            </w:r>
          </w:p>
        </w:tc>
      </w:tr>
      <w:tr>
        <w:trPr>
          <w:trHeight w:val="157"/>
        </w:trPr>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net income (loss) per common share(1):</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7"/>
        </w:trPr>
        <w:tc>
          <w:tcPr>
            <w:tcW w:w="1300" w:type="dxa"/>
            <w:vAlign w:val="bottom"/>
          </w:tcPr>
          <w:p>
            <w:pPr>
              <w:jc w:val="right"/>
              <w:ind w:right="834"/>
              <w:spacing w:after="0"/>
              <w:rPr>
                <w:sz w:val="20"/>
                <w:szCs w:val="20"/>
                <w:color w:val="auto"/>
              </w:rPr>
            </w:pPr>
            <w:r>
              <w:rPr>
                <w:rFonts w:ascii="Arial" w:cs="Arial" w:eastAsia="Arial" w:hAnsi="Arial"/>
                <w:sz w:val="13"/>
                <w:szCs w:val="13"/>
                <w:color w:val="auto"/>
              </w:rPr>
              <w:t>2010</w:t>
            </w:r>
          </w:p>
        </w:tc>
        <w:tc>
          <w:tcPr>
            <w:tcW w:w="41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0.50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28"/>
              <w:spacing w:after="0"/>
              <w:rPr>
                <w:sz w:val="20"/>
                <w:szCs w:val="20"/>
                <w:color w:val="auto"/>
              </w:rPr>
            </w:pPr>
            <w:r>
              <w:rPr>
                <w:rFonts w:ascii="Arial" w:cs="Arial" w:eastAsia="Arial" w:hAnsi="Arial"/>
                <w:sz w:val="13"/>
                <w:szCs w:val="13"/>
                <w:color w:val="auto"/>
              </w:rPr>
              <w:t>0.50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0.55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560"/>
              <w:spacing w:after="0"/>
              <w:rPr>
                <w:sz w:val="20"/>
                <w:szCs w:val="20"/>
                <w:color w:val="auto"/>
              </w:rPr>
            </w:pPr>
            <w:r>
              <w:rPr>
                <w:rFonts w:ascii="Arial" w:cs="Arial" w:eastAsia="Arial" w:hAnsi="Arial"/>
                <w:sz w:val="13"/>
                <w:szCs w:val="13"/>
                <w:color w:val="auto"/>
              </w:rPr>
              <w:t>0.63</w:t>
            </w:r>
          </w:p>
        </w:tc>
      </w:tr>
      <w:tr>
        <w:trPr>
          <w:trHeight w:val="157"/>
        </w:trPr>
        <w:tc>
          <w:tcPr>
            <w:tcW w:w="130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rPr>
              <w:t>2009</w:t>
            </w:r>
          </w:p>
        </w:tc>
        <w:tc>
          <w:tcPr>
            <w:tcW w:w="4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0.38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0.49</w:t>
            </w: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0.53</w:t>
            </w:r>
          </w:p>
        </w:tc>
      </w:tr>
      <w:tr>
        <w:trPr>
          <w:trHeight w:val="98"/>
        </w:trPr>
        <w:tc>
          <w:tcPr>
            <w:tcW w:w="130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r>
    </w:tbl>
    <w:p>
      <w:pPr>
        <w:spacing w:after="0" w:line="40" w:lineRule="exact"/>
        <w:rPr>
          <w:sz w:val="20"/>
          <w:szCs w:val="20"/>
          <w:color w:val="auto"/>
        </w:rPr>
      </w:pPr>
    </w:p>
    <w:p>
      <w:pPr>
        <w:ind w:left="1000" w:right="140" w:hanging="259"/>
        <w:spacing w:after="0" w:line="371" w:lineRule="auto"/>
        <w:tabs>
          <w:tab w:leader="none" w:pos="1000" w:val="left"/>
        </w:tabs>
        <w:numPr>
          <w:ilvl w:val="0"/>
          <w:numId w:val="38"/>
        </w:numPr>
        <w:rPr>
          <w:rFonts w:ascii="Arial" w:cs="Arial" w:eastAsia="Arial" w:hAnsi="Arial"/>
          <w:sz w:val="11"/>
          <w:szCs w:val="11"/>
          <w:color w:val="auto"/>
        </w:rPr>
      </w:pPr>
      <w:r>
        <w:rPr>
          <w:rFonts w:ascii="Arial" w:cs="Arial" w:eastAsia="Arial" w:hAnsi="Arial"/>
          <w:sz w:val="11"/>
          <w:szCs w:val="11"/>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shares of its common stock during the year.</w:t>
      </w:r>
    </w:p>
    <w:p>
      <w:pPr>
        <w:spacing w:after="0" w:line="20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1"/>
              </w:rPr>
              <w:t>Balance at</w:t>
            </w:r>
          </w:p>
        </w:tc>
        <w:tc>
          <w:tcPr>
            <w:tcW w:w="8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Charged to</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Charged to</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w w:val="99"/>
              </w:rPr>
              <w:t>Balance at</w:t>
            </w:r>
          </w:p>
        </w:tc>
        <w:tc>
          <w:tcPr>
            <w:tcW w:w="0" w:type="dxa"/>
            <w:vAlign w:val="bottom"/>
          </w:tcPr>
          <w:p>
            <w:pPr>
              <w:spacing w:after="0"/>
              <w:rPr>
                <w:sz w:val="1"/>
                <w:szCs w:val="1"/>
                <w:color w:val="auto"/>
              </w:rPr>
            </w:pPr>
          </w:p>
        </w:tc>
      </w:tr>
      <w:tr>
        <w:trPr>
          <w:trHeight w:val="108"/>
        </w:trPr>
        <w:tc>
          <w:tcPr>
            <w:tcW w:w="4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Beginning of</w:t>
            </w:r>
          </w:p>
        </w:tc>
        <w:tc>
          <w:tcPr>
            <w:tcW w:w="80" w:type="dxa"/>
            <w:vAlign w:val="bottom"/>
          </w:tcPr>
          <w:p>
            <w:pPr>
              <w:spacing w:after="0"/>
              <w:rPr>
                <w:sz w:val="9"/>
                <w:szCs w:val="9"/>
                <w:color w:val="auto"/>
              </w:rPr>
            </w:pPr>
          </w:p>
        </w:tc>
        <w:tc>
          <w:tcPr>
            <w:tcW w:w="78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0"/>
              </w:rPr>
              <w:t>Costs and</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9"/>
                <w:szCs w:val="9"/>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1"/>
              </w:rPr>
              <w:t>Deductions</w:t>
            </w:r>
          </w:p>
        </w:tc>
        <w:tc>
          <w:tcPr>
            <w:tcW w:w="100" w:type="dxa"/>
            <w:vAlign w:val="bottom"/>
          </w:tcPr>
          <w:p>
            <w:pPr>
              <w:spacing w:after="0"/>
              <w:rPr>
                <w:sz w:val="9"/>
                <w:szCs w:val="9"/>
                <w:color w:val="auto"/>
              </w:rPr>
            </w:pPr>
          </w:p>
        </w:tc>
        <w:tc>
          <w:tcPr>
            <w:tcW w:w="580" w:type="dxa"/>
            <w:vAlign w:val="bottom"/>
            <w:gridSpan w:val="2"/>
          </w:tcPr>
          <w:p>
            <w:pPr>
              <w:jc w:val="right"/>
              <w:ind w:right="240"/>
              <w:spacing w:after="0" w:line="108" w:lineRule="exact"/>
              <w:rPr>
                <w:sz w:val="20"/>
                <w:szCs w:val="20"/>
                <w:color w:val="auto"/>
              </w:rPr>
            </w:pPr>
            <w:r>
              <w:rPr>
                <w:rFonts w:ascii="Arial" w:cs="Arial" w:eastAsia="Arial" w:hAnsi="Arial"/>
                <w:sz w:val="10"/>
                <w:szCs w:val="10"/>
                <w:b w:val="1"/>
                <w:bCs w:val="1"/>
                <w:color w:val="auto"/>
              </w:rPr>
              <w:t>End of</w:t>
            </w:r>
          </w:p>
        </w:tc>
        <w:tc>
          <w:tcPr>
            <w:tcW w:w="0" w:type="dxa"/>
            <w:vAlign w:val="bottom"/>
          </w:tcPr>
          <w:p>
            <w:pPr>
              <w:spacing w:after="0"/>
              <w:rPr>
                <w:sz w:val="1"/>
                <w:szCs w:val="1"/>
                <w:color w:val="auto"/>
              </w:rPr>
            </w:pPr>
          </w:p>
        </w:tc>
      </w:tr>
      <w:tr>
        <w:trPr>
          <w:trHeight w:val="125"/>
        </w:trPr>
        <w:tc>
          <w:tcPr>
            <w:tcW w:w="46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Period</w:t>
            </w:r>
          </w:p>
        </w:tc>
        <w:tc>
          <w:tcPr>
            <w:tcW w:w="8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Expenses</w:t>
            </w:r>
          </w:p>
        </w:tc>
        <w:tc>
          <w:tcPr>
            <w:tcW w:w="240" w:type="dxa"/>
            <w:vAlign w:val="bottom"/>
            <w:vMerge w:val="restart"/>
          </w:tcPr>
          <w:p>
            <w:pPr>
              <w:ind w:left="120"/>
              <w:spacing w:after="0"/>
              <w:rPr>
                <w:sz w:val="20"/>
                <w:szCs w:val="20"/>
                <w:color w:val="auto"/>
              </w:rPr>
            </w:pPr>
            <w:r>
              <w:rPr>
                <w:rFonts w:ascii="Arial" w:cs="Arial" w:eastAsia="Arial" w:hAnsi="Arial"/>
                <w:sz w:val="10"/>
                <w:szCs w:val="10"/>
                <w:b w:val="1"/>
                <w:bCs w:val="1"/>
                <w:color w:val="auto"/>
                <w:w w:val="81"/>
              </w:rPr>
              <w:t>(In</w:t>
            </w:r>
          </w:p>
        </w:tc>
        <w:tc>
          <w:tcPr>
            <w:tcW w:w="6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Accounts(1)</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Period</w:t>
            </w:r>
          </w:p>
        </w:tc>
        <w:tc>
          <w:tcPr>
            <w:tcW w:w="0" w:type="dxa"/>
            <w:vAlign w:val="bottom"/>
          </w:tcPr>
          <w:p>
            <w:pPr>
              <w:spacing w:after="0"/>
              <w:rPr>
                <w:sz w:val="1"/>
                <w:szCs w:val="1"/>
                <w:color w:val="auto"/>
              </w:rPr>
            </w:pPr>
          </w:p>
        </w:tc>
      </w:tr>
      <w:tr>
        <w:trPr>
          <w:trHeight w:val="131"/>
        </w:trPr>
        <w:tc>
          <w:tcPr>
            <w:tcW w:w="1300" w:type="dxa"/>
            <w:vAlign w:val="bottom"/>
            <w:tcBorders>
              <w:top w:val="single" w:sz="8" w:color="auto"/>
            </w:tcBorders>
          </w:tcPr>
          <w:p>
            <w:pPr>
              <w:spacing w:after="0"/>
              <w:rPr>
                <w:sz w:val="11"/>
                <w:szCs w:val="11"/>
                <w:color w:val="auto"/>
              </w:rPr>
            </w:pPr>
          </w:p>
        </w:tc>
        <w:tc>
          <w:tcPr>
            <w:tcW w:w="33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680" w:type="dxa"/>
            <w:vAlign w:val="bottom"/>
            <w:tcBorders>
              <w:top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thousands)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2010: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Allowance for doubtful accounts and sales returns and allowances</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11,216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(2,167)</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(1,727)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7,322</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tax asset valuation allowance</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36,131</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431</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(1,088)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36,634</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Year ended December 31, 2009: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Allowance for doubtful accounts and sales returns and allowances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10,052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(1,481)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11,216</w:t>
            </w: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Deferred tax asset valuation allowance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35,968</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3,649</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(3,286)</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36,131</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Allowance for doubtful accounts and sales returns and allowances</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7,816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3,016</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(780)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10,052</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tax asset valuation allowance</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40,925</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(2,436)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(2,521)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35,968</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1000" w:right="120" w:hanging="259"/>
        <w:spacing w:after="0" w:line="264"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 2010, $1.2 million of deferred tax liability was reclassified to the valuation allowance with no impact to the consolidated statement of operations. In 2009, the balance was reduced by $3.3 million, which was no longer required as a result of the estimated expiration of the carryforward period of a net operating loss carryforward for which a deferred tax asset had been previously recorded. In 2008, $2.0 million was charged to additional paid-in capital.</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80" w:type="dxa"/>
            <w:vAlign w:val="bottom"/>
          </w:tcPr>
          <w:p>
            <w:pPr>
              <w:spacing w:after="0"/>
              <w:rPr>
                <w:sz w:val="14"/>
                <w:szCs w:val="14"/>
                <w:color w:val="auto"/>
              </w:rPr>
            </w:pPr>
          </w:p>
        </w:tc>
        <w:tc>
          <w:tcPr>
            <w:tcW w:w="9040" w:type="dxa"/>
            <w:vAlign w:val="bottom"/>
          </w:tcPr>
          <w:p>
            <w:pPr>
              <w:ind w:left="3540"/>
              <w:spacing w:after="0"/>
              <w:rPr>
                <w:sz w:val="20"/>
                <w:szCs w:val="20"/>
                <w:color w:val="auto"/>
              </w:rPr>
            </w:pPr>
            <w:r>
              <w:rPr>
                <w:rFonts w:ascii="Arial" w:cs="Arial" w:eastAsia="Arial" w:hAnsi="Arial"/>
                <w:sz w:val="13"/>
                <w:szCs w:val="13"/>
                <w:b w:val="1"/>
                <w:bCs w:val="1"/>
                <w:color w:val="auto"/>
              </w:rPr>
              <w:t>EXHIBIT INDEX</w:t>
            </w:r>
          </w:p>
        </w:tc>
      </w:tr>
      <w:tr>
        <w:trPr>
          <w:trHeight w:val="327"/>
        </w:trPr>
        <w:tc>
          <w:tcPr>
            <w:tcW w:w="480" w:type="dxa"/>
            <w:vAlign w:val="bottom"/>
          </w:tcPr>
          <w:p>
            <w:pPr>
              <w:spacing w:after="0"/>
              <w:rPr>
                <w:sz w:val="20"/>
                <w:szCs w:val="20"/>
                <w:color w:val="auto"/>
              </w:rPr>
            </w:pPr>
            <w:r>
              <w:rPr>
                <w:rFonts w:ascii="Arial" w:cs="Arial" w:eastAsia="Arial" w:hAnsi="Arial"/>
                <w:sz w:val="13"/>
                <w:szCs w:val="13"/>
                <w:color w:val="auto"/>
              </w:rPr>
              <w:t>3.1(a)</w:t>
            </w:r>
          </w:p>
        </w:tc>
        <w:tc>
          <w:tcPr>
            <w:tcW w:w="9040" w:type="dxa"/>
            <w:vAlign w:val="bottom"/>
          </w:tcPr>
          <w:p>
            <w:pPr>
              <w:ind w:left="160"/>
              <w:spacing w:after="0"/>
              <w:rPr>
                <w:sz w:val="20"/>
                <w:szCs w:val="20"/>
                <w:color w:val="auto"/>
              </w:rPr>
            </w:pPr>
            <w:r>
              <w:rPr>
                <w:rFonts w:ascii="Arial" w:cs="Arial" w:eastAsia="Arial" w:hAnsi="Arial"/>
                <w:sz w:val="13"/>
                <w:szCs w:val="13"/>
                <w:color w:val="auto"/>
                <w:w w:val="92"/>
              </w:rPr>
              <w:t>Amended and Restated Certificate of Incorporation of the Company (Incorporated by reference to Exhibit 3.1(a) to the Company’s Annual Report on Form 10-K for the</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rPr>
              <w:t>year ended December 31, 2005)</w:t>
            </w: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3.1(b)</w:t>
            </w:r>
          </w:p>
        </w:tc>
        <w:tc>
          <w:tcPr>
            <w:tcW w:w="9040" w:type="dxa"/>
            <w:vAlign w:val="bottom"/>
          </w:tcPr>
          <w:p>
            <w:pPr>
              <w:ind w:left="160"/>
              <w:spacing w:after="0"/>
              <w:rPr>
                <w:sz w:val="20"/>
                <w:szCs w:val="20"/>
                <w:color w:val="auto"/>
              </w:rPr>
            </w:pPr>
            <w:r>
              <w:rPr>
                <w:rFonts w:ascii="Arial" w:cs="Arial" w:eastAsia="Arial" w:hAnsi="Arial"/>
                <w:sz w:val="13"/>
                <w:szCs w:val="13"/>
                <w:color w:val="auto"/>
                <w:w w:val="95"/>
              </w:rPr>
              <w:t>Certificate of Amendment to Amended and Restated Certificate of Incorporation dated May 22, 1998 (Incorporated by reference to Exhibit 3.1(b) to the Company’s</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rPr>
              <w:t>Annual Report on Form 10-K for the year ended December 31, 1998)</w:t>
            </w: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3.1(c)</w:t>
            </w:r>
          </w:p>
        </w:tc>
        <w:tc>
          <w:tcPr>
            <w:tcW w:w="9040" w:type="dxa"/>
            <w:vAlign w:val="bottom"/>
          </w:tcPr>
          <w:p>
            <w:pPr>
              <w:ind w:left="160"/>
              <w:spacing w:after="0"/>
              <w:rPr>
                <w:sz w:val="20"/>
                <w:szCs w:val="20"/>
                <w:color w:val="auto"/>
              </w:rPr>
            </w:pPr>
            <w:r>
              <w:rPr>
                <w:rFonts w:ascii="Arial" w:cs="Arial" w:eastAsia="Arial" w:hAnsi="Arial"/>
                <w:sz w:val="13"/>
                <w:szCs w:val="13"/>
                <w:color w:val="auto"/>
                <w:w w:val="95"/>
              </w:rPr>
              <w:t>Certificate of Amendment to Amended and Restated Certificate of Incorporation dated May 17, 1999 (Incorporated by reference to Exhibit 3.1(c) to the Company’s</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rPr>
              <w:t>Annual Report on Form 10-K for the year ended December 31, 2004)</w:t>
            </w: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3.2(a)</w:t>
            </w:r>
          </w:p>
        </w:tc>
        <w:tc>
          <w:tcPr>
            <w:tcW w:w="9040" w:type="dxa"/>
            <w:vAlign w:val="bottom"/>
          </w:tcPr>
          <w:p>
            <w:pPr>
              <w:ind w:left="160"/>
              <w:spacing w:after="0"/>
              <w:rPr>
                <w:sz w:val="20"/>
                <w:szCs w:val="20"/>
                <w:color w:val="auto"/>
              </w:rPr>
            </w:pPr>
            <w:r>
              <w:rPr>
                <w:rFonts w:ascii="Arial" w:cs="Arial" w:eastAsia="Arial" w:hAnsi="Arial"/>
                <w:sz w:val="13"/>
                <w:szCs w:val="13"/>
                <w:color w:val="auto"/>
                <w:w w:val="93"/>
              </w:rPr>
              <w:t>Amended and Restated By-laws of the Company (Incorporated by reference to Exhibit 3.1 to the Company’s Current Report on Form 8-K filed on November 3, 2006)</w:t>
            </w: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3.2(b)</w:t>
            </w:r>
          </w:p>
        </w:tc>
        <w:tc>
          <w:tcPr>
            <w:tcW w:w="9040" w:type="dxa"/>
            <w:vAlign w:val="bottom"/>
          </w:tcPr>
          <w:p>
            <w:pPr>
              <w:ind w:left="160"/>
              <w:spacing w:after="0"/>
              <w:rPr>
                <w:sz w:val="20"/>
                <w:szCs w:val="20"/>
                <w:color w:val="auto"/>
              </w:rPr>
            </w:pPr>
            <w:r>
              <w:rPr>
                <w:rFonts w:ascii="Arial" w:cs="Arial" w:eastAsia="Arial" w:hAnsi="Arial"/>
                <w:sz w:val="13"/>
                <w:szCs w:val="13"/>
                <w:color w:val="auto"/>
                <w:w w:val="93"/>
              </w:rPr>
              <w:t>Amended and Restated By-laws of the Company (Incorporated by reference to Exhibit 3.2 to the Company’s Current Report on Form 8-K filed on November 3, 2009)</w:t>
            </w: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4.1</w:t>
            </w:r>
          </w:p>
        </w:tc>
        <w:tc>
          <w:tcPr>
            <w:tcW w:w="9040" w:type="dxa"/>
            <w:vAlign w:val="bottom"/>
          </w:tcPr>
          <w:p>
            <w:pPr>
              <w:ind w:left="160"/>
              <w:spacing w:after="0"/>
              <w:rPr>
                <w:sz w:val="20"/>
                <w:szCs w:val="20"/>
                <w:color w:val="auto"/>
              </w:rPr>
            </w:pPr>
            <w:r>
              <w:rPr>
                <w:rFonts w:ascii="Arial" w:cs="Arial" w:eastAsia="Arial" w:hAnsi="Arial"/>
                <w:sz w:val="13"/>
                <w:szCs w:val="13"/>
                <w:color w:val="auto"/>
                <w:w w:val="93"/>
              </w:rPr>
              <w:t>Indenture, dated as of March 31, 2003, between the Company and Wells Fargo Bank Minnesota, National Association (Incorporated by reference to Exhibit 4.1 to the</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rPr>
              <w:t>Company’s Quarterly Report on Form 10-Q for the quarter ended March 31, 2003)</w:t>
            </w: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4.2</w:t>
            </w:r>
          </w:p>
        </w:tc>
        <w:tc>
          <w:tcPr>
            <w:tcW w:w="9040" w:type="dxa"/>
            <w:vAlign w:val="bottom"/>
          </w:tcPr>
          <w:p>
            <w:pPr>
              <w:ind w:left="160"/>
              <w:spacing w:after="0"/>
              <w:rPr>
                <w:sz w:val="20"/>
                <w:szCs w:val="20"/>
                <w:color w:val="auto"/>
              </w:rPr>
            </w:pPr>
            <w:r>
              <w:rPr>
                <w:rFonts w:ascii="Arial" w:cs="Arial" w:eastAsia="Arial" w:hAnsi="Arial"/>
                <w:sz w:val="13"/>
                <w:szCs w:val="13"/>
                <w:color w:val="auto"/>
                <w:w w:val="94"/>
              </w:rPr>
              <w:t>Registration Rights Agreement, dated as of March 31, 2003, between the Company and Credit Suisse First Boston, LLC, Banc of America Securities LLC and U.S.</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rPr>
              <w:t>Bancorp Piper Jaffray Inc. (Incorporated by reference to Exhibit 4.3 to the Company’s Registration Statement on Form S-3 filed on June 30, 2003 (File</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rPr>
              <w:t>No. 333-106625))</w:t>
            </w: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4.3(a)</w:t>
            </w:r>
          </w:p>
        </w:tc>
        <w:tc>
          <w:tcPr>
            <w:tcW w:w="9040" w:type="dxa"/>
            <w:vAlign w:val="bottom"/>
          </w:tcPr>
          <w:p>
            <w:pPr>
              <w:ind w:left="160"/>
              <w:spacing w:after="0"/>
              <w:rPr>
                <w:sz w:val="20"/>
                <w:szCs w:val="20"/>
                <w:color w:val="auto"/>
              </w:rPr>
            </w:pPr>
            <w:r>
              <w:rPr>
                <w:rFonts w:ascii="Arial" w:cs="Arial" w:eastAsia="Arial" w:hAnsi="Arial"/>
                <w:sz w:val="13"/>
                <w:szCs w:val="13"/>
                <w:color w:val="auto"/>
                <w:w w:val="99"/>
              </w:rPr>
              <w:t>Credit Agreement, dated as of December 22, 2005, among Integra LifeSciences Holdings Corporation, the lenders party thereto, Bank of America, N.A., as</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w w:val="92"/>
              </w:rPr>
              <w:t>Administrative Agent, Swing Line Lender and L/C Issuer, Citibank FSB and SunTrust Bank, as Co-Syndication Agents, and Royal Bank of Canada and Wachovia Bank,</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w w:val="94"/>
              </w:rPr>
              <w:t>National Association, as Co-Documentation Agents (Incorporated by reference to Exhibit 10.1 to the Company’s Current Report on Form 8-K filed on December 29,</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rPr>
              <w:t>2005)</w:t>
            </w: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4.3(b)</w:t>
            </w:r>
          </w:p>
        </w:tc>
        <w:tc>
          <w:tcPr>
            <w:tcW w:w="9040" w:type="dxa"/>
            <w:vAlign w:val="bottom"/>
          </w:tcPr>
          <w:p>
            <w:pPr>
              <w:ind w:left="160"/>
              <w:spacing w:after="0"/>
              <w:rPr>
                <w:sz w:val="20"/>
                <w:szCs w:val="20"/>
                <w:color w:val="auto"/>
              </w:rPr>
            </w:pPr>
            <w:r>
              <w:rPr>
                <w:rFonts w:ascii="Arial" w:cs="Arial" w:eastAsia="Arial" w:hAnsi="Arial"/>
                <w:sz w:val="13"/>
                <w:szCs w:val="13"/>
                <w:color w:val="auto"/>
              </w:rPr>
              <w:t>First Amendment, dated as of February 15, 2006, among Integra LifeSciences Holdings Corporation, the lenders party thereto, Bank of America, N.A., as</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w w:val="92"/>
              </w:rPr>
              <w:t>Administrative Agent, Swing Line Lender and L/C Issuer, Citibank FSB and SunTrust Bank, as Co-Syndication Agents, and Royal Bank of Canada and Wachovia Bank,</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w w:val="95"/>
              </w:rPr>
              <w:t>National Association, as Co-Documentation Agents (Incorporated by reference to Exhibit 4.3(b) to the Company’s Annual Report on Form 10-K for the year ended</w:t>
            </w:r>
          </w:p>
        </w:tc>
      </w:tr>
      <w:tr>
        <w:trPr>
          <w:trHeight w:val="165"/>
        </w:trPr>
        <w:tc>
          <w:tcPr>
            <w:tcW w:w="480" w:type="dxa"/>
            <w:vAlign w:val="bottom"/>
          </w:tcPr>
          <w:p>
            <w:pPr>
              <w:spacing w:after="0"/>
              <w:rPr>
                <w:sz w:val="14"/>
                <w:szCs w:val="14"/>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rPr>
              <w:t>December 31, 2005)</w:t>
            </w:r>
          </w:p>
        </w:tc>
      </w:tr>
      <w:tr>
        <w:trPr>
          <w:trHeight w:val="307"/>
        </w:trPr>
        <w:tc>
          <w:tcPr>
            <w:tcW w:w="480" w:type="dxa"/>
            <w:vAlign w:val="bottom"/>
          </w:tcPr>
          <w:p>
            <w:pPr>
              <w:spacing w:after="0"/>
              <w:rPr>
                <w:sz w:val="20"/>
                <w:szCs w:val="20"/>
                <w:color w:val="auto"/>
              </w:rPr>
            </w:pPr>
            <w:r>
              <w:rPr>
                <w:rFonts w:ascii="Arial" w:cs="Arial" w:eastAsia="Arial" w:hAnsi="Arial"/>
                <w:sz w:val="13"/>
                <w:szCs w:val="13"/>
                <w:color w:val="auto"/>
              </w:rPr>
              <w:t>4.3(c)</w:t>
            </w:r>
          </w:p>
        </w:tc>
        <w:tc>
          <w:tcPr>
            <w:tcW w:w="9040" w:type="dxa"/>
            <w:vAlign w:val="bottom"/>
          </w:tcPr>
          <w:p>
            <w:pPr>
              <w:ind w:left="160"/>
              <w:spacing w:after="0"/>
              <w:rPr>
                <w:sz w:val="20"/>
                <w:szCs w:val="20"/>
                <w:color w:val="auto"/>
              </w:rPr>
            </w:pPr>
            <w:r>
              <w:rPr>
                <w:rFonts w:ascii="Arial" w:cs="Arial" w:eastAsia="Arial" w:hAnsi="Arial"/>
                <w:sz w:val="13"/>
                <w:szCs w:val="13"/>
                <w:color w:val="auto"/>
                <w:w w:val="98"/>
              </w:rPr>
              <w:t>Second Amendment, dated as of February 23, 2007, among Integra LifeSciences Holdings Corporation, the lenders party thereto, Bank of America, N.A., as</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w w:val="92"/>
              </w:rPr>
              <w:t>Administrative Agent, Swing Line Lender and L/C Issuer, Citibank FSB and SunTrust Bank, as Co-Syndication Agents, and Royal Bank of Canada and Wachovia Bank,</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w w:val="92"/>
              </w:rPr>
              <w:t>National Association, as Co-Documentation Agents (Incorporated by reference to Exhibit 4.1 to the Company’s Current Report on Form 8-K filed on February 27, 2007)</w:t>
            </w: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4.3(d)</w:t>
            </w:r>
          </w:p>
        </w:tc>
        <w:tc>
          <w:tcPr>
            <w:tcW w:w="9040" w:type="dxa"/>
            <w:vAlign w:val="bottom"/>
          </w:tcPr>
          <w:p>
            <w:pPr>
              <w:ind w:left="160"/>
              <w:spacing w:after="0"/>
              <w:rPr>
                <w:sz w:val="20"/>
                <w:szCs w:val="20"/>
                <w:color w:val="auto"/>
              </w:rPr>
            </w:pPr>
            <w:r>
              <w:rPr>
                <w:rFonts w:ascii="Arial" w:cs="Arial" w:eastAsia="Arial" w:hAnsi="Arial"/>
                <w:sz w:val="13"/>
                <w:szCs w:val="13"/>
                <w:color w:val="auto"/>
                <w:w w:val="94"/>
              </w:rPr>
              <w:t>Third Amendment, dated as of June 4, 2007, among Integra LifeSciences Holdings Corporation, the lenders party thereto, Bank of America, N.A., as Administrative</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w w:val="94"/>
              </w:rPr>
              <w:t>Agent, Swing Line Lender and L/C Issuer, Citibank, N.A., successor by merger to Citibank, FSB, as Syndication Agent and JPMorgan Chase Bank, N.A., Deutsche</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w w:val="91"/>
              </w:rPr>
              <w:t>Bank Trust Company Americas and Royal Bank of Canada, as Co-Documentation Agents (Incorporated by reference to Exhibit 4.1 to the Company’s Current Report on</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rPr>
              <w:t>Form 8-K filed on June 6, 2007)</w:t>
            </w: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4.3(e)</w:t>
            </w:r>
          </w:p>
        </w:tc>
        <w:tc>
          <w:tcPr>
            <w:tcW w:w="9040" w:type="dxa"/>
            <w:vAlign w:val="bottom"/>
          </w:tcPr>
          <w:p>
            <w:pPr>
              <w:ind w:left="160"/>
              <w:spacing w:after="0"/>
              <w:rPr>
                <w:sz w:val="20"/>
                <w:szCs w:val="20"/>
                <w:color w:val="auto"/>
              </w:rPr>
            </w:pPr>
            <w:r>
              <w:rPr>
                <w:rFonts w:ascii="Arial" w:cs="Arial" w:eastAsia="Arial" w:hAnsi="Arial"/>
                <w:sz w:val="13"/>
                <w:szCs w:val="13"/>
                <w:color w:val="auto"/>
                <w:w w:val="98"/>
              </w:rPr>
              <w:t>Fourth Amendment, dated as of September 5, 2007, among Integra LifeSciences Holdings Corporation, the lenders party thereto, Bank of America, N.A., as</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w w:val="92"/>
              </w:rPr>
              <w:t>Administrative Agent, Swing Line Lender and L/C Issuer, Citibank, N.A., successor by merger to Citibank FSB, as Syndication Agent and JPMorgan Chase Bank, N.A.,</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w w:val="92"/>
              </w:rPr>
              <w:t>Deutsche Bank Trust Company Americas and Royal Bank of Canada, as Co-Documentation Agents (Incorporated by reference to Exhibit 4.1 to the Company’s Current</w:t>
            </w:r>
          </w:p>
        </w:tc>
      </w:tr>
      <w:tr>
        <w:trPr>
          <w:trHeight w:val="157"/>
        </w:trPr>
        <w:tc>
          <w:tcPr>
            <w:tcW w:w="480" w:type="dxa"/>
            <w:vAlign w:val="bottom"/>
          </w:tcPr>
          <w:p>
            <w:pPr>
              <w:spacing w:after="0"/>
              <w:rPr>
                <w:sz w:val="13"/>
                <w:szCs w:val="13"/>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rPr>
              <w:t>Report on Form 8-K filed on September 6, 2007)</w:t>
            </w:r>
          </w:p>
        </w:tc>
      </w:t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4.3(f)</w:t>
            </w:r>
          </w:p>
        </w:tc>
        <w:tc>
          <w:tcPr>
            <w:tcW w:w="9040" w:type="dxa"/>
            <w:vAlign w:val="bottom"/>
          </w:tcPr>
          <w:p>
            <w:pPr>
              <w:ind w:left="160"/>
              <w:spacing w:after="0"/>
              <w:rPr>
                <w:sz w:val="20"/>
                <w:szCs w:val="20"/>
                <w:color w:val="auto"/>
              </w:rPr>
            </w:pPr>
            <w:r>
              <w:rPr>
                <w:rFonts w:ascii="Arial" w:cs="Arial" w:eastAsia="Arial" w:hAnsi="Arial"/>
                <w:sz w:val="13"/>
                <w:szCs w:val="13"/>
                <w:color w:val="auto"/>
                <w:w w:val="92"/>
              </w:rPr>
              <w:t>Amended and Restated Credit Agreement, dated as of August 10, 2010, among Integra LifeSciences Holdings Corporation, the lenders party thereto, Bank of America,</w:t>
            </w:r>
          </w:p>
        </w:tc>
      </w:tr>
      <w:tr>
        <w:trPr>
          <w:trHeight w:val="165"/>
        </w:trPr>
        <w:tc>
          <w:tcPr>
            <w:tcW w:w="480" w:type="dxa"/>
            <w:vAlign w:val="bottom"/>
          </w:tcPr>
          <w:p>
            <w:pPr>
              <w:spacing w:after="0"/>
              <w:rPr>
                <w:sz w:val="14"/>
                <w:szCs w:val="14"/>
                <w:color w:val="auto"/>
              </w:rPr>
            </w:pPr>
          </w:p>
        </w:tc>
        <w:tc>
          <w:tcPr>
            <w:tcW w:w="9040" w:type="dxa"/>
            <w:vAlign w:val="bottom"/>
          </w:tcPr>
          <w:p>
            <w:pPr>
              <w:ind w:left="160"/>
              <w:spacing w:after="0"/>
              <w:rPr>
                <w:sz w:val="20"/>
                <w:szCs w:val="20"/>
                <w:color w:val="auto"/>
              </w:rPr>
            </w:pPr>
            <w:r>
              <w:rPr>
                <w:rFonts w:ascii="Arial" w:cs="Arial" w:eastAsia="Arial" w:hAnsi="Arial"/>
                <w:sz w:val="13"/>
                <w:szCs w:val="13"/>
                <w:color w:val="auto"/>
                <w:w w:val="94"/>
              </w:rPr>
              <w:t>N.A., as Administrative Agent, Swing Line Lender and L/C Issuer, JP Morgan Chase Bank, as Syndication Agent, and HSBC Bank USA, NA, RBC Capital Markets,</w:t>
            </w:r>
          </w:p>
        </w:tc>
      </w:tr>
    </w:tbl>
    <w:p>
      <w:pPr>
        <w:ind w:left="1780" w:right="160"/>
        <w:spacing w:after="0" w:line="264" w:lineRule="auto"/>
        <w:rPr>
          <w:sz w:val="20"/>
          <w:szCs w:val="20"/>
          <w:color w:val="auto"/>
        </w:rPr>
      </w:pPr>
      <w:r>
        <w:rPr>
          <w:rFonts w:ascii="Arial" w:cs="Arial" w:eastAsia="Arial" w:hAnsi="Arial"/>
          <w:sz w:val="13"/>
          <w:szCs w:val="13"/>
          <w:color w:val="auto"/>
        </w:rPr>
        <w:t>Wells Fargo Bank, N.A., Fifth Third Bank, DNB NOR Bank ASA and TD Bank, N.A., as Co-Documentation Agents (Incorporated by reference to Exhibit 10.1 to the Company’s Current Report on Form 8-K filed on August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20" w:type="dxa"/>
            <w:vAlign w:val="bottom"/>
          </w:tcPr>
          <w:p>
            <w:pPr>
              <w:jc w:val="right"/>
              <w:ind w:right="254"/>
              <w:spacing w:after="0"/>
              <w:rPr>
                <w:sz w:val="20"/>
                <w:szCs w:val="20"/>
                <w:color w:val="auto"/>
              </w:rPr>
            </w:pPr>
            <w:r>
              <w:rPr>
                <w:rFonts w:ascii="Arial" w:cs="Arial" w:eastAsia="Arial" w:hAnsi="Arial"/>
                <w:sz w:val="13"/>
                <w:szCs w:val="13"/>
                <w:color w:val="auto"/>
              </w:rPr>
              <w:t>4.4</w:t>
            </w:r>
          </w:p>
        </w:tc>
        <w:tc>
          <w:tcPr>
            <w:tcW w:w="9840" w:type="dxa"/>
            <w:vAlign w:val="bottom"/>
          </w:tcPr>
          <w:p>
            <w:pPr>
              <w:ind w:left="180"/>
              <w:spacing w:after="0"/>
              <w:rPr>
                <w:sz w:val="20"/>
                <w:szCs w:val="20"/>
                <w:color w:val="auto"/>
              </w:rPr>
            </w:pPr>
            <w:r>
              <w:rPr>
                <w:rFonts w:ascii="Arial" w:cs="Arial" w:eastAsia="Arial" w:hAnsi="Arial"/>
                <w:sz w:val="13"/>
                <w:szCs w:val="13"/>
                <w:color w:val="auto"/>
              </w:rPr>
              <w:t>Security Agreement, dated as of December 22, 2005, among Integra LifeSciences Holdings Corporation and the additional grantors party thereto in favor of Bank of</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America, N.A., as administrative and collateral agent (Incorporated by reference to Exhibit 4.4 to the Company’s Annual Report on Form 10-K for the year ended</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December 31, 2005)</w:t>
            </w:r>
          </w:p>
        </w:tc>
      </w:tr>
      <w:tr>
        <w:trPr>
          <w:trHeight w:val="157"/>
        </w:trPr>
        <w:tc>
          <w:tcPr>
            <w:tcW w:w="1620" w:type="dxa"/>
            <w:vAlign w:val="bottom"/>
          </w:tcPr>
          <w:p>
            <w:pPr>
              <w:jc w:val="right"/>
              <w:ind w:right="254"/>
              <w:spacing w:after="0"/>
              <w:rPr>
                <w:sz w:val="20"/>
                <w:szCs w:val="20"/>
                <w:color w:val="auto"/>
              </w:rPr>
            </w:pPr>
            <w:r>
              <w:rPr>
                <w:rFonts w:ascii="Arial" w:cs="Arial" w:eastAsia="Arial" w:hAnsi="Arial"/>
                <w:sz w:val="13"/>
                <w:szCs w:val="13"/>
                <w:color w:val="auto"/>
              </w:rPr>
              <w:t>4.5</w:t>
            </w:r>
          </w:p>
        </w:tc>
        <w:tc>
          <w:tcPr>
            <w:tcW w:w="9840" w:type="dxa"/>
            <w:vAlign w:val="bottom"/>
          </w:tcPr>
          <w:p>
            <w:pPr>
              <w:ind w:left="180"/>
              <w:spacing w:after="0"/>
              <w:rPr>
                <w:sz w:val="20"/>
                <w:szCs w:val="20"/>
                <w:color w:val="auto"/>
              </w:rPr>
            </w:pPr>
            <w:r>
              <w:rPr>
                <w:rFonts w:ascii="Arial" w:cs="Arial" w:eastAsia="Arial" w:hAnsi="Arial"/>
                <w:sz w:val="13"/>
                <w:szCs w:val="13"/>
                <w:color w:val="auto"/>
              </w:rPr>
              <w:t>Pledge Agreement, dated as of December 22, 2005, among Integra LifeSciences Holdings Corporation and the additional grantors party thereto in favor of Bank of</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America, N.A., as administrative and collateral agent (Incorporated by reference to Exhibit 4.5 to the Company’s Annual Report on Form 10-K for the year ended</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December 31, 2005)</w:t>
            </w:r>
          </w:p>
        </w:tc>
      </w:tr>
      <w:tr>
        <w:trPr>
          <w:trHeight w:val="157"/>
        </w:trPr>
        <w:tc>
          <w:tcPr>
            <w:tcW w:w="1620" w:type="dxa"/>
            <w:vAlign w:val="bottom"/>
          </w:tcPr>
          <w:p>
            <w:pPr>
              <w:jc w:val="right"/>
              <w:ind w:right="254"/>
              <w:spacing w:after="0"/>
              <w:rPr>
                <w:sz w:val="20"/>
                <w:szCs w:val="20"/>
                <w:color w:val="auto"/>
              </w:rPr>
            </w:pPr>
            <w:r>
              <w:rPr>
                <w:rFonts w:ascii="Arial" w:cs="Arial" w:eastAsia="Arial" w:hAnsi="Arial"/>
                <w:sz w:val="13"/>
                <w:szCs w:val="13"/>
                <w:color w:val="auto"/>
              </w:rPr>
              <w:t>4.6</w:t>
            </w:r>
          </w:p>
        </w:tc>
        <w:tc>
          <w:tcPr>
            <w:tcW w:w="9840" w:type="dxa"/>
            <w:vAlign w:val="bottom"/>
          </w:tcPr>
          <w:p>
            <w:pPr>
              <w:ind w:left="180"/>
              <w:spacing w:after="0"/>
              <w:rPr>
                <w:sz w:val="20"/>
                <w:szCs w:val="20"/>
                <w:color w:val="auto"/>
              </w:rPr>
            </w:pPr>
            <w:r>
              <w:rPr>
                <w:rFonts w:ascii="Arial" w:cs="Arial" w:eastAsia="Arial" w:hAnsi="Arial"/>
                <w:sz w:val="13"/>
                <w:szCs w:val="13"/>
                <w:color w:val="auto"/>
              </w:rPr>
              <w:t>Subsidiary Guaranty Agreement, dated as of December 22, 2005, among the guarantors party thereto and individually as a “Guarantor”), in favor of Bank of America,</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N.A., as administrative and collateral agent (Incorporated by reference to Exhibit 4.6 to the Company’s Annual Report on Form 10-K for the year ended December 31,</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2005)</w:t>
            </w:r>
          </w:p>
        </w:tc>
      </w:tr>
      <w:tr>
        <w:trPr>
          <w:trHeight w:val="157"/>
        </w:trPr>
        <w:tc>
          <w:tcPr>
            <w:tcW w:w="1620" w:type="dxa"/>
            <w:vAlign w:val="bottom"/>
          </w:tcPr>
          <w:p>
            <w:pPr>
              <w:jc w:val="right"/>
              <w:ind w:right="254"/>
              <w:spacing w:after="0"/>
              <w:rPr>
                <w:sz w:val="20"/>
                <w:szCs w:val="20"/>
                <w:color w:val="auto"/>
              </w:rPr>
            </w:pPr>
            <w:r>
              <w:rPr>
                <w:rFonts w:ascii="Arial" w:cs="Arial" w:eastAsia="Arial" w:hAnsi="Arial"/>
                <w:sz w:val="13"/>
                <w:szCs w:val="13"/>
                <w:color w:val="auto"/>
              </w:rPr>
              <w:t>4.7</w:t>
            </w:r>
          </w:p>
        </w:tc>
        <w:tc>
          <w:tcPr>
            <w:tcW w:w="9840" w:type="dxa"/>
            <w:vAlign w:val="bottom"/>
          </w:tcPr>
          <w:p>
            <w:pPr>
              <w:ind w:left="180"/>
              <w:spacing w:after="0"/>
              <w:rPr>
                <w:sz w:val="20"/>
                <w:szCs w:val="20"/>
                <w:color w:val="auto"/>
              </w:rPr>
            </w:pPr>
            <w:r>
              <w:rPr>
                <w:rFonts w:ascii="Arial" w:cs="Arial" w:eastAsia="Arial" w:hAnsi="Arial"/>
                <w:sz w:val="13"/>
                <w:szCs w:val="13"/>
                <w:color w:val="auto"/>
              </w:rPr>
              <w:t>Indenture, dated as of September 29, 2006, between the Company and Wells Fargo Bank, N.A. (Incorporated by reference to Exhibit 4.1 to the Company’s Current</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Report on Form 8-K filed on October 5, 2006)</w:t>
            </w:r>
          </w:p>
        </w:tc>
      </w:tr>
      <w:tr>
        <w:trPr>
          <w:trHeight w:val="157"/>
        </w:trPr>
        <w:tc>
          <w:tcPr>
            <w:tcW w:w="1620" w:type="dxa"/>
            <w:vAlign w:val="bottom"/>
          </w:tcPr>
          <w:p>
            <w:pPr>
              <w:jc w:val="right"/>
              <w:ind w:right="254"/>
              <w:spacing w:after="0"/>
              <w:rPr>
                <w:sz w:val="20"/>
                <w:szCs w:val="20"/>
                <w:color w:val="auto"/>
              </w:rPr>
            </w:pPr>
            <w:r>
              <w:rPr>
                <w:rFonts w:ascii="Arial" w:cs="Arial" w:eastAsia="Arial" w:hAnsi="Arial"/>
                <w:sz w:val="13"/>
                <w:szCs w:val="13"/>
                <w:color w:val="auto"/>
              </w:rPr>
              <w:t>4.8</w:t>
            </w:r>
          </w:p>
        </w:tc>
        <w:tc>
          <w:tcPr>
            <w:tcW w:w="9840" w:type="dxa"/>
            <w:vAlign w:val="bottom"/>
          </w:tcPr>
          <w:p>
            <w:pPr>
              <w:ind w:left="180"/>
              <w:spacing w:after="0"/>
              <w:rPr>
                <w:sz w:val="20"/>
                <w:szCs w:val="20"/>
                <w:color w:val="auto"/>
              </w:rPr>
            </w:pPr>
            <w:r>
              <w:rPr>
                <w:rFonts w:ascii="Arial" w:cs="Arial" w:eastAsia="Arial" w:hAnsi="Arial"/>
                <w:sz w:val="13"/>
                <w:szCs w:val="13"/>
                <w:color w:val="auto"/>
              </w:rPr>
              <w:t>Indenture, dated June 11, 2007, among Integra LifeSciences Holdings Corporation, Integra LifeSciences Corporation and Wells Fargo Bank, N.A., as trustee</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(Incorporated by reference to Exhibit 4.1 to the Company’s Current Report on Form 8-K filed on June 12, 2007)</w:t>
            </w:r>
          </w:p>
        </w:tc>
      </w:tr>
      <w:tr>
        <w:trPr>
          <w:trHeight w:val="157"/>
        </w:trPr>
        <w:tc>
          <w:tcPr>
            <w:tcW w:w="1620" w:type="dxa"/>
            <w:vAlign w:val="bottom"/>
          </w:tcPr>
          <w:p>
            <w:pPr>
              <w:jc w:val="right"/>
              <w:ind w:right="254"/>
              <w:spacing w:after="0"/>
              <w:rPr>
                <w:sz w:val="20"/>
                <w:szCs w:val="20"/>
                <w:color w:val="auto"/>
              </w:rPr>
            </w:pPr>
            <w:r>
              <w:rPr>
                <w:rFonts w:ascii="Arial" w:cs="Arial" w:eastAsia="Arial" w:hAnsi="Arial"/>
                <w:sz w:val="13"/>
                <w:szCs w:val="13"/>
                <w:color w:val="auto"/>
              </w:rPr>
              <w:t>4.9</w:t>
            </w:r>
          </w:p>
        </w:tc>
        <w:tc>
          <w:tcPr>
            <w:tcW w:w="9840" w:type="dxa"/>
            <w:vAlign w:val="bottom"/>
          </w:tcPr>
          <w:p>
            <w:pPr>
              <w:ind w:left="180"/>
              <w:spacing w:after="0"/>
              <w:rPr>
                <w:sz w:val="20"/>
                <w:szCs w:val="20"/>
                <w:color w:val="auto"/>
              </w:rPr>
            </w:pPr>
            <w:r>
              <w:rPr>
                <w:rFonts w:ascii="Arial" w:cs="Arial" w:eastAsia="Arial" w:hAnsi="Arial"/>
                <w:sz w:val="13"/>
                <w:szCs w:val="13"/>
                <w:color w:val="auto"/>
              </w:rPr>
              <w:t>Form of 2.75% Senior Convertible Note due 2010 (included in Exhibit 4.8) (Incorporated by reference to Exhibit 4.2 to the Company’s Current Report on Form 8-K</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filed on June 12, 2007)</w:t>
            </w:r>
          </w:p>
        </w:tc>
      </w:tr>
      <w:tr>
        <w:trPr>
          <w:trHeight w:val="157"/>
        </w:trPr>
        <w:tc>
          <w:tcPr>
            <w:tcW w:w="1620" w:type="dxa"/>
            <w:vAlign w:val="bottom"/>
          </w:tcPr>
          <w:p>
            <w:pPr>
              <w:jc w:val="right"/>
              <w:ind w:right="174"/>
              <w:spacing w:after="0"/>
              <w:rPr>
                <w:sz w:val="20"/>
                <w:szCs w:val="20"/>
                <w:color w:val="auto"/>
              </w:rPr>
            </w:pPr>
            <w:r>
              <w:rPr>
                <w:rFonts w:ascii="Arial" w:cs="Arial" w:eastAsia="Arial" w:hAnsi="Arial"/>
                <w:sz w:val="13"/>
                <w:szCs w:val="13"/>
                <w:color w:val="auto"/>
              </w:rPr>
              <w:t>4.10</w:t>
            </w:r>
          </w:p>
        </w:tc>
        <w:tc>
          <w:tcPr>
            <w:tcW w:w="9840" w:type="dxa"/>
            <w:vAlign w:val="bottom"/>
          </w:tcPr>
          <w:p>
            <w:pPr>
              <w:ind w:left="180"/>
              <w:spacing w:after="0"/>
              <w:rPr>
                <w:sz w:val="20"/>
                <w:szCs w:val="20"/>
                <w:color w:val="auto"/>
              </w:rPr>
            </w:pPr>
            <w:r>
              <w:rPr>
                <w:rFonts w:ascii="Arial" w:cs="Arial" w:eastAsia="Arial" w:hAnsi="Arial"/>
                <w:sz w:val="13"/>
                <w:szCs w:val="13"/>
                <w:color w:val="auto"/>
              </w:rPr>
              <w:t>Indenture, dated June 11, 2007, among Integra LifeSciences Holdings Corporation, Integra LifeSciences Corporation and Wells Fargo Bank, N.A., as trustee</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(Incorporated by reference to Exhibit 4.3 to the Company’s Current Report on Form 8-K filed on June 12, 2007)</w:t>
            </w:r>
          </w:p>
        </w:tc>
      </w:tr>
      <w:tr>
        <w:trPr>
          <w:trHeight w:val="157"/>
        </w:trPr>
        <w:tc>
          <w:tcPr>
            <w:tcW w:w="1620" w:type="dxa"/>
            <w:vAlign w:val="bottom"/>
          </w:tcPr>
          <w:p>
            <w:pPr>
              <w:jc w:val="right"/>
              <w:ind w:right="194"/>
              <w:spacing w:after="0"/>
              <w:rPr>
                <w:sz w:val="20"/>
                <w:szCs w:val="20"/>
                <w:color w:val="auto"/>
              </w:rPr>
            </w:pPr>
            <w:r>
              <w:rPr>
                <w:rFonts w:ascii="Arial" w:cs="Arial" w:eastAsia="Arial" w:hAnsi="Arial"/>
                <w:sz w:val="13"/>
                <w:szCs w:val="13"/>
                <w:color w:val="auto"/>
              </w:rPr>
              <w:t>4.11</w:t>
            </w:r>
          </w:p>
        </w:tc>
        <w:tc>
          <w:tcPr>
            <w:tcW w:w="9840" w:type="dxa"/>
            <w:vAlign w:val="bottom"/>
          </w:tcPr>
          <w:p>
            <w:pPr>
              <w:ind w:left="180"/>
              <w:spacing w:after="0"/>
              <w:rPr>
                <w:sz w:val="20"/>
                <w:szCs w:val="20"/>
                <w:color w:val="auto"/>
              </w:rPr>
            </w:pPr>
            <w:r>
              <w:rPr>
                <w:rFonts w:ascii="Arial" w:cs="Arial" w:eastAsia="Arial" w:hAnsi="Arial"/>
                <w:sz w:val="13"/>
                <w:szCs w:val="13"/>
                <w:color w:val="auto"/>
              </w:rPr>
              <w:t>Form of 2.375% Senior Convertible Note due 2012 (included in Exhibit 4.10) (Incorporated by reference to Exhibit 4.4 to the Company’s Current Report on Form 8-K</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filed on June 12, 2007)</w:t>
            </w:r>
          </w:p>
        </w:tc>
      </w:tr>
      <w:tr>
        <w:trPr>
          <w:trHeight w:val="157"/>
        </w:trPr>
        <w:tc>
          <w:tcPr>
            <w:tcW w:w="1620" w:type="dxa"/>
            <w:vAlign w:val="bottom"/>
          </w:tcPr>
          <w:p>
            <w:pPr>
              <w:jc w:val="right"/>
              <w:ind w:right="174"/>
              <w:spacing w:after="0"/>
              <w:rPr>
                <w:sz w:val="20"/>
                <w:szCs w:val="20"/>
                <w:color w:val="auto"/>
              </w:rPr>
            </w:pPr>
            <w:r>
              <w:rPr>
                <w:rFonts w:ascii="Arial" w:cs="Arial" w:eastAsia="Arial" w:hAnsi="Arial"/>
                <w:sz w:val="13"/>
                <w:szCs w:val="13"/>
                <w:color w:val="auto"/>
              </w:rPr>
              <w:t>4.12</w:t>
            </w:r>
          </w:p>
        </w:tc>
        <w:tc>
          <w:tcPr>
            <w:tcW w:w="9840" w:type="dxa"/>
            <w:vAlign w:val="bottom"/>
          </w:tcPr>
          <w:p>
            <w:pPr>
              <w:ind w:left="180"/>
              <w:spacing w:after="0"/>
              <w:rPr>
                <w:sz w:val="20"/>
                <w:szCs w:val="20"/>
                <w:color w:val="auto"/>
              </w:rPr>
            </w:pPr>
            <w:r>
              <w:rPr>
                <w:rFonts w:ascii="Arial" w:cs="Arial" w:eastAsia="Arial" w:hAnsi="Arial"/>
                <w:sz w:val="13"/>
                <w:szCs w:val="13"/>
                <w:color w:val="auto"/>
              </w:rPr>
              <w:t>Registration Rights Agreement, dated June 11, 2007, among Integra LifeSciences Holdings Corporation, Banc of America Securities LLC, J.P. Morgan Securities Inc.</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and Morgan Stanley &amp; Co., Incorporated, as representatives of the several initial purchasers (Incorporated by reference to Exhibit 4.5 to the Company’s Current Report</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on Form 8-K filed on June 12, 2007)</w:t>
            </w:r>
          </w:p>
        </w:tc>
      </w:tr>
      <w:tr>
        <w:trPr>
          <w:trHeight w:val="157"/>
        </w:trPr>
        <w:tc>
          <w:tcPr>
            <w:tcW w:w="1620" w:type="dxa"/>
            <w:vAlign w:val="bottom"/>
          </w:tcPr>
          <w:p>
            <w:pPr>
              <w:jc w:val="right"/>
              <w:ind w:right="174"/>
              <w:spacing w:after="0"/>
              <w:rPr>
                <w:sz w:val="20"/>
                <w:szCs w:val="20"/>
                <w:color w:val="auto"/>
              </w:rPr>
            </w:pPr>
            <w:r>
              <w:rPr>
                <w:rFonts w:ascii="Arial" w:cs="Arial" w:eastAsia="Arial" w:hAnsi="Arial"/>
                <w:sz w:val="13"/>
                <w:szCs w:val="13"/>
                <w:color w:val="auto"/>
              </w:rPr>
              <w:t>4.13</w:t>
            </w:r>
          </w:p>
        </w:tc>
        <w:tc>
          <w:tcPr>
            <w:tcW w:w="9840" w:type="dxa"/>
            <w:vAlign w:val="bottom"/>
          </w:tcPr>
          <w:p>
            <w:pPr>
              <w:ind w:left="180"/>
              <w:spacing w:after="0"/>
              <w:rPr>
                <w:sz w:val="20"/>
                <w:szCs w:val="20"/>
                <w:color w:val="auto"/>
              </w:rPr>
            </w:pPr>
            <w:r>
              <w:rPr>
                <w:rFonts w:ascii="Arial" w:cs="Arial" w:eastAsia="Arial" w:hAnsi="Arial"/>
                <w:sz w:val="13"/>
                <w:szCs w:val="13"/>
                <w:color w:val="auto"/>
              </w:rPr>
              <w:t>Registration Rights Agreement, dated June 11, 2007, among Integra LifeSciences Holdings Corporation, Banc of America Securities LLC, J.P. Morgan Securities Inc.</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and Morgan Stanley &amp; Co., Incorporated, as representatives of the several initial purchasers (Incorporated by reference to Exhibit 4.6 to the Company’s Current Report</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on Form 8-K filed on June 12, 2007)</w:t>
            </w:r>
          </w:p>
        </w:tc>
      </w:tr>
      <w:tr>
        <w:trPr>
          <w:trHeight w:val="157"/>
        </w:trPr>
        <w:tc>
          <w:tcPr>
            <w:tcW w:w="1620" w:type="dxa"/>
            <w:vAlign w:val="bottom"/>
          </w:tcPr>
          <w:p>
            <w:pPr>
              <w:jc w:val="right"/>
              <w:ind w:right="94"/>
              <w:spacing w:after="0"/>
              <w:rPr>
                <w:sz w:val="20"/>
                <w:szCs w:val="20"/>
                <w:color w:val="auto"/>
              </w:rPr>
            </w:pPr>
            <w:r>
              <w:rPr>
                <w:rFonts w:ascii="Arial" w:cs="Arial" w:eastAsia="Arial" w:hAnsi="Arial"/>
                <w:sz w:val="13"/>
                <w:szCs w:val="13"/>
                <w:color w:val="auto"/>
              </w:rPr>
              <w:t>10.1(a)</w:t>
            </w:r>
          </w:p>
        </w:tc>
        <w:tc>
          <w:tcPr>
            <w:tcW w:w="9840" w:type="dxa"/>
            <w:vAlign w:val="bottom"/>
          </w:tcPr>
          <w:p>
            <w:pPr>
              <w:ind w:left="180"/>
              <w:spacing w:after="0"/>
              <w:rPr>
                <w:sz w:val="20"/>
                <w:szCs w:val="20"/>
                <w:color w:val="auto"/>
              </w:rPr>
            </w:pPr>
            <w:r>
              <w:rPr>
                <w:rFonts w:ascii="Arial" w:cs="Arial" w:eastAsia="Arial" w:hAnsi="Arial"/>
                <w:sz w:val="13"/>
                <w:szCs w:val="13"/>
                <w:color w:val="auto"/>
              </w:rPr>
              <w:t>Lease between Plainsboro Associates and American Biomaterials Corporation dated as of April 16, 1985, as assigned to Colla-Tec, Inc. on October 24, 1989 and as</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amended through November 1, 1992 (Incorporated by reference to Exhibit 10.30 to the Company’s Registration Statement on Form 10/A (File No. 0-26224) which</w:t>
            </w:r>
          </w:p>
        </w:tc>
      </w:tr>
      <w:tr>
        <w:trPr>
          <w:trHeight w:val="165"/>
        </w:trPr>
        <w:tc>
          <w:tcPr>
            <w:tcW w:w="1620" w:type="dxa"/>
            <w:vAlign w:val="bottom"/>
          </w:tcPr>
          <w:p>
            <w:pPr>
              <w:spacing w:after="0"/>
              <w:rPr>
                <w:sz w:val="14"/>
                <w:szCs w:val="14"/>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became effective on August 8, 1995)</w:t>
            </w:r>
          </w:p>
        </w:tc>
      </w:tr>
      <w:tr>
        <w:trPr>
          <w:trHeight w:val="307"/>
        </w:trPr>
        <w:tc>
          <w:tcPr>
            <w:tcW w:w="1620" w:type="dxa"/>
            <w:vAlign w:val="bottom"/>
          </w:tcPr>
          <w:p>
            <w:pPr>
              <w:jc w:val="right"/>
              <w:ind w:right="94"/>
              <w:spacing w:after="0"/>
              <w:rPr>
                <w:sz w:val="20"/>
                <w:szCs w:val="20"/>
                <w:color w:val="auto"/>
              </w:rPr>
            </w:pPr>
            <w:r>
              <w:rPr>
                <w:rFonts w:ascii="Arial" w:cs="Arial" w:eastAsia="Arial" w:hAnsi="Arial"/>
                <w:sz w:val="13"/>
                <w:szCs w:val="13"/>
                <w:color w:val="auto"/>
              </w:rPr>
              <w:t>10.1(b)</w:t>
            </w:r>
          </w:p>
        </w:tc>
        <w:tc>
          <w:tcPr>
            <w:tcW w:w="9840" w:type="dxa"/>
            <w:vAlign w:val="bottom"/>
          </w:tcPr>
          <w:p>
            <w:pPr>
              <w:ind w:left="180"/>
              <w:spacing w:after="0"/>
              <w:rPr>
                <w:sz w:val="20"/>
                <w:szCs w:val="20"/>
                <w:color w:val="auto"/>
              </w:rPr>
            </w:pPr>
            <w:r>
              <w:rPr>
                <w:rFonts w:ascii="Arial" w:cs="Arial" w:eastAsia="Arial" w:hAnsi="Arial"/>
                <w:sz w:val="13"/>
                <w:szCs w:val="13"/>
                <w:color w:val="auto"/>
              </w:rPr>
              <w:t>Lease Modification #2 entered into as of the 28th day of October, 2005, by and between Plainsboro Associates and Integra LifeSciences Corporation (Incorporated by</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reference to Exhibit 10.1 to the Company’s Current Report on Form 8-K filed on November 2, 2005)</w:t>
            </w:r>
          </w:p>
        </w:tc>
      </w:tr>
      <w:tr>
        <w:trPr>
          <w:trHeight w:val="157"/>
        </w:trPr>
        <w:tc>
          <w:tcPr>
            <w:tcW w:w="1620" w:type="dxa"/>
            <w:vAlign w:val="bottom"/>
          </w:tcPr>
          <w:p>
            <w:pPr>
              <w:jc w:val="right"/>
              <w:ind w:right="254"/>
              <w:spacing w:after="0"/>
              <w:rPr>
                <w:sz w:val="20"/>
                <w:szCs w:val="20"/>
                <w:color w:val="auto"/>
              </w:rPr>
            </w:pPr>
            <w:r>
              <w:rPr>
                <w:rFonts w:ascii="Arial" w:cs="Arial" w:eastAsia="Arial" w:hAnsi="Arial"/>
                <w:sz w:val="13"/>
                <w:szCs w:val="13"/>
                <w:color w:val="auto"/>
              </w:rPr>
              <w:t>10.2</w:t>
            </w:r>
          </w:p>
        </w:tc>
        <w:tc>
          <w:tcPr>
            <w:tcW w:w="9840" w:type="dxa"/>
            <w:vAlign w:val="bottom"/>
          </w:tcPr>
          <w:p>
            <w:pPr>
              <w:ind w:left="180"/>
              <w:spacing w:after="0"/>
              <w:rPr>
                <w:sz w:val="20"/>
                <w:szCs w:val="20"/>
                <w:color w:val="auto"/>
              </w:rPr>
            </w:pPr>
            <w:r>
              <w:rPr>
                <w:rFonts w:ascii="Arial" w:cs="Arial" w:eastAsia="Arial" w:hAnsi="Arial"/>
                <w:sz w:val="13"/>
                <w:szCs w:val="13"/>
                <w:color w:val="auto"/>
              </w:rPr>
              <w:t>Equipment Lease Agreement between Medicus Corporation and the Company, dated as of June 1, 2000 (Incorporated by reference to Exhibit 10.1 to the Company’s</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Quarterly Report on Form 10-Q for the quarter ended June 30, 2000)</w:t>
            </w:r>
          </w:p>
        </w:tc>
      </w:tr>
      <w:tr>
        <w:trPr>
          <w:trHeight w:val="157"/>
        </w:trPr>
        <w:tc>
          <w:tcPr>
            <w:tcW w:w="1620" w:type="dxa"/>
            <w:vAlign w:val="bottom"/>
          </w:tcPr>
          <w:p>
            <w:pPr>
              <w:jc w:val="right"/>
              <w:ind w:right="94"/>
              <w:spacing w:after="0"/>
              <w:rPr>
                <w:sz w:val="20"/>
                <w:szCs w:val="20"/>
                <w:color w:val="auto"/>
              </w:rPr>
            </w:pPr>
            <w:r>
              <w:rPr>
                <w:rFonts w:ascii="Arial" w:cs="Arial" w:eastAsia="Arial" w:hAnsi="Arial"/>
                <w:sz w:val="13"/>
                <w:szCs w:val="13"/>
                <w:color w:val="auto"/>
              </w:rPr>
              <w:t>10.2(a)</w:t>
            </w:r>
          </w:p>
        </w:tc>
        <w:tc>
          <w:tcPr>
            <w:tcW w:w="9840" w:type="dxa"/>
            <w:vAlign w:val="bottom"/>
          </w:tcPr>
          <w:p>
            <w:pPr>
              <w:ind w:left="180"/>
              <w:spacing w:after="0"/>
              <w:rPr>
                <w:sz w:val="20"/>
                <w:szCs w:val="20"/>
                <w:color w:val="auto"/>
              </w:rPr>
            </w:pPr>
            <w:r>
              <w:rPr>
                <w:rFonts w:ascii="Arial" w:cs="Arial" w:eastAsia="Arial" w:hAnsi="Arial"/>
                <w:sz w:val="13"/>
                <w:szCs w:val="13"/>
                <w:color w:val="auto"/>
                <w:w w:val="99"/>
              </w:rPr>
              <w:t>First Amendment to Equipment Lease Agreement between Medicus Corporation and the Company, dated as of June 29, 2010 (Incorporated by reference to Exhibit 10.2</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to the Company’s Quarterly Report on Form 10-Q for the quarter ended June 30, 2010)</w:t>
            </w:r>
          </w:p>
        </w:tc>
      </w:tr>
      <w:tr>
        <w:trPr>
          <w:trHeight w:val="157"/>
        </w:trPr>
        <w:tc>
          <w:tcPr>
            <w:tcW w:w="1620" w:type="dxa"/>
            <w:vAlign w:val="bottom"/>
          </w:tcPr>
          <w:p>
            <w:pPr>
              <w:jc w:val="right"/>
              <w:ind w:right="254"/>
              <w:spacing w:after="0"/>
              <w:rPr>
                <w:sz w:val="20"/>
                <w:szCs w:val="20"/>
                <w:color w:val="auto"/>
              </w:rPr>
            </w:pPr>
            <w:r>
              <w:rPr>
                <w:rFonts w:ascii="Arial" w:cs="Arial" w:eastAsia="Arial" w:hAnsi="Arial"/>
                <w:sz w:val="13"/>
                <w:szCs w:val="13"/>
                <w:color w:val="auto"/>
              </w:rPr>
              <w:t>10.3</w:t>
            </w:r>
          </w:p>
        </w:tc>
        <w:tc>
          <w:tcPr>
            <w:tcW w:w="9840" w:type="dxa"/>
            <w:vAlign w:val="bottom"/>
          </w:tcPr>
          <w:p>
            <w:pPr>
              <w:ind w:left="180"/>
              <w:spacing w:after="0"/>
              <w:rPr>
                <w:sz w:val="20"/>
                <w:szCs w:val="20"/>
                <w:color w:val="auto"/>
              </w:rPr>
            </w:pPr>
            <w:r>
              <w:rPr>
                <w:rFonts w:ascii="Arial" w:cs="Arial" w:eastAsia="Arial" w:hAnsi="Arial"/>
                <w:sz w:val="13"/>
                <w:szCs w:val="13"/>
                <w:color w:val="auto"/>
              </w:rPr>
              <w:t>Form of Indemnification Agreement between the Company and [ ] dated August 16, 1995, including a schedule identifying the individuals that are a party to such</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Indemnification Agreements (Incorporated by reference to Exhibit 10.37 to the Company’s Registration Statement on Form S-1 (File No. 33-98698) which became</w:t>
            </w:r>
          </w:p>
        </w:tc>
      </w:tr>
      <w:tr>
        <w:trPr>
          <w:trHeight w:val="157"/>
        </w:trPr>
        <w:tc>
          <w:tcPr>
            <w:tcW w:w="1620" w:type="dxa"/>
            <w:vAlign w:val="bottom"/>
          </w:tcPr>
          <w:p>
            <w:pPr>
              <w:spacing w:after="0"/>
              <w:rPr>
                <w:sz w:val="13"/>
                <w:szCs w:val="13"/>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effective on January 24, 1996)*</w:t>
            </w:r>
          </w:p>
        </w:tc>
      </w:tr>
      <w:tr>
        <w:trPr>
          <w:trHeight w:val="157"/>
        </w:trPr>
        <w:tc>
          <w:tcPr>
            <w:tcW w:w="1620" w:type="dxa"/>
            <w:vAlign w:val="bottom"/>
          </w:tcPr>
          <w:p>
            <w:pPr>
              <w:jc w:val="right"/>
              <w:ind w:right="254"/>
              <w:spacing w:after="0"/>
              <w:rPr>
                <w:sz w:val="20"/>
                <w:szCs w:val="20"/>
                <w:color w:val="auto"/>
              </w:rPr>
            </w:pPr>
            <w:r>
              <w:rPr>
                <w:rFonts w:ascii="Arial" w:cs="Arial" w:eastAsia="Arial" w:hAnsi="Arial"/>
                <w:sz w:val="13"/>
                <w:szCs w:val="13"/>
                <w:color w:val="auto"/>
              </w:rPr>
              <w:t>10.4</w:t>
            </w:r>
          </w:p>
        </w:tc>
        <w:tc>
          <w:tcPr>
            <w:tcW w:w="9840" w:type="dxa"/>
            <w:vAlign w:val="bottom"/>
          </w:tcPr>
          <w:p>
            <w:pPr>
              <w:ind w:left="180"/>
              <w:spacing w:after="0"/>
              <w:rPr>
                <w:sz w:val="20"/>
                <w:szCs w:val="20"/>
                <w:color w:val="auto"/>
              </w:rPr>
            </w:pPr>
            <w:r>
              <w:rPr>
                <w:rFonts w:ascii="Arial" w:cs="Arial" w:eastAsia="Arial" w:hAnsi="Arial"/>
                <w:sz w:val="13"/>
                <w:szCs w:val="13"/>
                <w:color w:val="auto"/>
              </w:rPr>
              <w:t>1993 Incentive Stock Option and Non-Qualified Stock Option Plan (Incorporated by reference to Exhibit 10.32 to the Company’s Registration Statement on Form 10/A</w:t>
            </w:r>
          </w:p>
        </w:tc>
      </w:tr>
      <w:tr>
        <w:trPr>
          <w:trHeight w:val="165"/>
        </w:trPr>
        <w:tc>
          <w:tcPr>
            <w:tcW w:w="1620" w:type="dxa"/>
            <w:vAlign w:val="bottom"/>
          </w:tcPr>
          <w:p>
            <w:pPr>
              <w:spacing w:after="0"/>
              <w:rPr>
                <w:sz w:val="14"/>
                <w:szCs w:val="14"/>
                <w:color w:val="auto"/>
              </w:rPr>
            </w:pPr>
          </w:p>
        </w:tc>
        <w:tc>
          <w:tcPr>
            <w:tcW w:w="9840" w:type="dxa"/>
            <w:vAlign w:val="bottom"/>
          </w:tcPr>
          <w:p>
            <w:pPr>
              <w:ind w:left="180"/>
              <w:spacing w:after="0"/>
              <w:rPr>
                <w:sz w:val="20"/>
                <w:szCs w:val="20"/>
                <w:color w:val="auto"/>
              </w:rPr>
            </w:pPr>
            <w:r>
              <w:rPr>
                <w:rFonts w:ascii="Arial" w:cs="Arial" w:eastAsia="Arial" w:hAnsi="Arial"/>
                <w:sz w:val="13"/>
                <w:szCs w:val="13"/>
                <w:color w:val="auto"/>
              </w:rPr>
              <w:t>(File No. 0-26224) which became effective on August 8, 1995)*</w:t>
            </w:r>
          </w:p>
        </w:tc>
      </w:tr>
      <w:tr>
        <w:trPr>
          <w:trHeight w:val="163"/>
        </w:trPr>
        <w:tc>
          <w:tcPr>
            <w:tcW w:w="1620" w:type="dxa"/>
            <w:vAlign w:val="bottom"/>
            <w:tcBorders>
              <w:bottom w:val="single" w:sz="8" w:color="808080"/>
            </w:tcBorders>
          </w:tcPr>
          <w:p>
            <w:pPr>
              <w:spacing w:after="0"/>
              <w:rPr>
                <w:sz w:val="14"/>
                <w:szCs w:val="14"/>
                <w:color w:val="auto"/>
              </w:rPr>
            </w:pPr>
          </w:p>
        </w:tc>
        <w:tc>
          <w:tcPr>
            <w:tcW w:w="98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10.5</w:t>
            </w:r>
          </w:p>
        </w:tc>
        <w:tc>
          <w:tcPr>
            <w:tcW w:w="9800" w:type="dxa"/>
            <w:vAlign w:val="bottom"/>
          </w:tcPr>
          <w:p>
            <w:pPr>
              <w:ind w:left="140"/>
              <w:spacing w:after="0"/>
              <w:rPr>
                <w:sz w:val="20"/>
                <w:szCs w:val="20"/>
                <w:color w:val="auto"/>
              </w:rPr>
            </w:pPr>
            <w:r>
              <w:rPr>
                <w:rFonts w:ascii="Arial" w:cs="Arial" w:eastAsia="Arial" w:hAnsi="Arial"/>
                <w:sz w:val="13"/>
                <w:szCs w:val="13"/>
                <w:color w:val="auto"/>
              </w:rPr>
              <w:t>1996 Incentive Stock Option and Non-Qualified Stock Option Plan (as amended through December 27, 1997) (Incorporated by reference to Exhibit 10.4 to the</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Company’s Current Report on Form 8-K filed on February 3, 1998)*</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10.6</w:t>
            </w:r>
          </w:p>
        </w:tc>
        <w:tc>
          <w:tcPr>
            <w:tcW w:w="9800" w:type="dxa"/>
            <w:vAlign w:val="bottom"/>
          </w:tcPr>
          <w:p>
            <w:pPr>
              <w:ind w:left="140"/>
              <w:spacing w:after="0"/>
              <w:rPr>
                <w:sz w:val="20"/>
                <w:szCs w:val="20"/>
                <w:color w:val="auto"/>
              </w:rPr>
            </w:pPr>
            <w:r>
              <w:rPr>
                <w:rFonts w:ascii="Arial" w:cs="Arial" w:eastAsia="Arial" w:hAnsi="Arial"/>
                <w:sz w:val="13"/>
                <w:szCs w:val="13"/>
                <w:color w:val="auto"/>
              </w:rPr>
              <w:t>1998 Stock Option Plan (amended and restated as of July 26, 2005) (Incorporated by reference to Exhibit 10.3 to the Company’s Quarterly Report on Form 10-Q for the</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quarter ended September 30, 2005)*</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10.7</w:t>
            </w:r>
          </w:p>
        </w:tc>
        <w:tc>
          <w:tcPr>
            <w:tcW w:w="9800" w:type="dxa"/>
            <w:vAlign w:val="bottom"/>
          </w:tcPr>
          <w:p>
            <w:pPr>
              <w:ind w:left="140"/>
              <w:spacing w:after="0"/>
              <w:rPr>
                <w:sz w:val="20"/>
                <w:szCs w:val="20"/>
                <w:color w:val="auto"/>
              </w:rPr>
            </w:pPr>
            <w:r>
              <w:rPr>
                <w:rFonts w:ascii="Arial" w:cs="Arial" w:eastAsia="Arial" w:hAnsi="Arial"/>
                <w:sz w:val="13"/>
                <w:szCs w:val="13"/>
                <w:color w:val="auto"/>
              </w:rPr>
              <w:t>1999 Stock Option Plan (amended and restated as of July 26, 2005) (Incorporated by reference to Exhibit 10.4 to the Company’s Quarterly Report on Form 10-Q for the</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quarter ended September 30, 2005)*</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10.8(a)</w:t>
            </w:r>
          </w:p>
        </w:tc>
        <w:tc>
          <w:tcPr>
            <w:tcW w:w="9800" w:type="dxa"/>
            <w:vAlign w:val="bottom"/>
          </w:tcPr>
          <w:p>
            <w:pPr>
              <w:ind w:left="140"/>
              <w:spacing w:after="0"/>
              <w:rPr>
                <w:sz w:val="20"/>
                <w:szCs w:val="20"/>
                <w:color w:val="auto"/>
              </w:rPr>
            </w:pPr>
            <w:r>
              <w:rPr>
                <w:rFonts w:ascii="Arial" w:cs="Arial" w:eastAsia="Arial" w:hAnsi="Arial"/>
                <w:sz w:val="13"/>
                <w:szCs w:val="13"/>
                <w:color w:val="auto"/>
              </w:rPr>
              <w:t>Employee Stock Purchase Plan (as amended on May 17, 2004) (Incorporated by reference to Exhibit 4.1 to the Company’s Registration Statement on Form S-8</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(Registration No. 333-127488) filed on August 12, 2005)*</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10.8(b)</w:t>
            </w:r>
          </w:p>
        </w:tc>
        <w:tc>
          <w:tcPr>
            <w:tcW w:w="9800" w:type="dxa"/>
            <w:vAlign w:val="bottom"/>
          </w:tcPr>
          <w:p>
            <w:pPr>
              <w:ind w:left="140"/>
              <w:spacing w:after="0"/>
              <w:rPr>
                <w:sz w:val="20"/>
                <w:szCs w:val="20"/>
                <w:color w:val="auto"/>
              </w:rPr>
            </w:pPr>
            <w:r>
              <w:rPr>
                <w:rFonts w:ascii="Arial" w:cs="Arial" w:eastAsia="Arial" w:hAnsi="Arial"/>
                <w:sz w:val="13"/>
                <w:szCs w:val="13"/>
                <w:color w:val="auto"/>
                <w:w w:val="99"/>
              </w:rPr>
              <w:t>First Amendment to the Company’s Employee Stock Purchase Plan, dated October 26, 2005 (Incorporated by reference to Exhibit 10.1 to the Company’s Current Report</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on Form 8-K filed on November 1, 2005)*</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10.9</w:t>
            </w:r>
          </w:p>
        </w:tc>
        <w:tc>
          <w:tcPr>
            <w:tcW w:w="9800" w:type="dxa"/>
            <w:vAlign w:val="bottom"/>
          </w:tcPr>
          <w:p>
            <w:pPr>
              <w:ind w:left="140"/>
              <w:spacing w:after="0"/>
              <w:rPr>
                <w:sz w:val="20"/>
                <w:szCs w:val="20"/>
                <w:color w:val="auto"/>
              </w:rPr>
            </w:pPr>
            <w:r>
              <w:rPr>
                <w:rFonts w:ascii="Arial" w:cs="Arial" w:eastAsia="Arial" w:hAnsi="Arial"/>
                <w:sz w:val="13"/>
                <w:szCs w:val="13"/>
                <w:color w:val="auto"/>
              </w:rPr>
              <w:t>2000 Equity Incentive Plan (amended and restated as of July 26, 2005) (Incorporated by reference to Exhibit 10.5 to the Company’s Quarterly Report on Form 10-Q for</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the quarter ended September 30, 2005)*</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10.10</w:t>
            </w:r>
          </w:p>
        </w:tc>
        <w:tc>
          <w:tcPr>
            <w:tcW w:w="9800" w:type="dxa"/>
            <w:vAlign w:val="bottom"/>
          </w:tcPr>
          <w:p>
            <w:pPr>
              <w:ind w:left="140"/>
              <w:spacing w:after="0"/>
              <w:rPr>
                <w:sz w:val="20"/>
                <w:szCs w:val="20"/>
                <w:color w:val="auto"/>
              </w:rPr>
            </w:pPr>
            <w:r>
              <w:rPr>
                <w:rFonts w:ascii="Arial" w:cs="Arial" w:eastAsia="Arial" w:hAnsi="Arial"/>
                <w:sz w:val="13"/>
                <w:szCs w:val="13"/>
                <w:color w:val="auto"/>
              </w:rPr>
              <w:t>2001 Equity Incentive Plan (amended and restated as of July 26, 2005) (Incorporated by reference to Exhibit 10.6 to the Company’s Quarterly Report on Form 10-Q for</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the quarter ended September 30, 2005)*</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10.11(a)</w:t>
            </w:r>
          </w:p>
        </w:tc>
        <w:tc>
          <w:tcPr>
            <w:tcW w:w="9800" w:type="dxa"/>
            <w:vAlign w:val="bottom"/>
          </w:tcPr>
          <w:p>
            <w:pPr>
              <w:ind w:left="140"/>
              <w:spacing w:after="0"/>
              <w:rPr>
                <w:sz w:val="20"/>
                <w:szCs w:val="20"/>
                <w:color w:val="auto"/>
              </w:rPr>
            </w:pPr>
            <w:r>
              <w:rPr>
                <w:rFonts w:ascii="Arial" w:cs="Arial" w:eastAsia="Arial" w:hAnsi="Arial"/>
                <w:sz w:val="13"/>
                <w:szCs w:val="13"/>
                <w:color w:val="auto"/>
              </w:rPr>
              <w:t>Integra LifeSciences Holdings Corporation Seconded Amended and Restated 2003 Equity Incentive Plan (Incorporated by reference to Exhibit 10 to the Company’s</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Current Report on Form 8-K filed May 21, 2010)*</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10.11(b)</w:t>
            </w:r>
          </w:p>
        </w:tc>
        <w:tc>
          <w:tcPr>
            <w:tcW w:w="9800" w:type="dxa"/>
            <w:vAlign w:val="bottom"/>
          </w:tcPr>
          <w:p>
            <w:pPr>
              <w:ind w:left="140"/>
              <w:spacing w:after="0"/>
              <w:rPr>
                <w:sz w:val="20"/>
                <w:szCs w:val="20"/>
                <w:color w:val="auto"/>
              </w:rPr>
            </w:pPr>
            <w:r>
              <w:rPr>
                <w:rFonts w:ascii="Arial" w:cs="Arial" w:eastAsia="Arial" w:hAnsi="Arial"/>
                <w:sz w:val="13"/>
                <w:szCs w:val="13"/>
                <w:color w:val="auto"/>
              </w:rPr>
              <w:t>Integra LifeSciences Holdings Corporation Amended and Restated 2003 Equity Incentive Plan effective July 9, 2008 (Incorporated by reference to Exhibit 10.2 to the</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Company’s Current Report on Form 8-K filed on July 11, 2008)*</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10.11(c)</w:t>
            </w:r>
          </w:p>
        </w:tc>
        <w:tc>
          <w:tcPr>
            <w:tcW w:w="9800" w:type="dxa"/>
            <w:vAlign w:val="bottom"/>
          </w:tcPr>
          <w:p>
            <w:pPr>
              <w:ind w:left="140"/>
              <w:spacing w:after="0"/>
              <w:rPr>
                <w:sz w:val="20"/>
                <w:szCs w:val="20"/>
                <w:color w:val="auto"/>
              </w:rPr>
            </w:pPr>
            <w:r>
              <w:rPr>
                <w:rFonts w:ascii="Arial" w:cs="Arial" w:eastAsia="Arial" w:hAnsi="Arial"/>
                <w:sz w:val="13"/>
                <w:szCs w:val="13"/>
                <w:color w:val="auto"/>
              </w:rPr>
              <w:t>Amendment to the Integra LifeSciences Holdings Corporation 2003 Equity Incentive Plan dated July 9, 2008 (Incorporated by reference to Exhibit 10.3 to the</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Company’s Current Report on Form 8-K filed on July 11, 2008)*</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10.12(a)</w:t>
            </w:r>
          </w:p>
        </w:tc>
        <w:tc>
          <w:tcPr>
            <w:tcW w:w="9800" w:type="dxa"/>
            <w:vAlign w:val="bottom"/>
          </w:tcPr>
          <w:p>
            <w:pPr>
              <w:ind w:left="140"/>
              <w:spacing w:after="0"/>
              <w:rPr>
                <w:sz w:val="20"/>
                <w:szCs w:val="20"/>
                <w:color w:val="auto"/>
              </w:rPr>
            </w:pPr>
            <w:r>
              <w:rPr>
                <w:rFonts w:ascii="Arial" w:cs="Arial" w:eastAsia="Arial" w:hAnsi="Arial"/>
                <w:sz w:val="13"/>
                <w:szCs w:val="13"/>
                <w:color w:val="auto"/>
                <w:w w:val="98"/>
              </w:rPr>
              <w:t>Second Amended and Restated Employment Agreement dated July 27, 2004 between the Company and Stuart M. Essig (Incorporated by reference to Exhibit 10.1 to the</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Company’s Quarterly Report on Form 10-Q for the quarter ended September 30, 2004)*</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10.12(b)</w:t>
            </w:r>
          </w:p>
        </w:tc>
        <w:tc>
          <w:tcPr>
            <w:tcW w:w="9800" w:type="dxa"/>
            <w:vAlign w:val="bottom"/>
          </w:tcPr>
          <w:p>
            <w:pPr>
              <w:ind w:left="140"/>
              <w:spacing w:after="0"/>
              <w:rPr>
                <w:sz w:val="20"/>
                <w:szCs w:val="20"/>
                <w:color w:val="auto"/>
              </w:rPr>
            </w:pPr>
            <w:r>
              <w:rPr>
                <w:rFonts w:ascii="Arial" w:cs="Arial" w:eastAsia="Arial" w:hAnsi="Arial"/>
                <w:sz w:val="13"/>
                <w:szCs w:val="13"/>
                <w:color w:val="auto"/>
              </w:rPr>
              <w:t>Amendment 2006-1, dated as of December 19, 2006, to the Second Amended and Restated Employment Agreement, between the Company and Stuart M. Essig</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(Incorporated by reference to Exhibit 10.1 to the Company’s Current Report on Form 8-K filed on December 22, 2006)*</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10.12(c)</w:t>
            </w:r>
          </w:p>
        </w:tc>
        <w:tc>
          <w:tcPr>
            <w:tcW w:w="9800" w:type="dxa"/>
            <w:vAlign w:val="bottom"/>
          </w:tcPr>
          <w:p>
            <w:pPr>
              <w:ind w:left="140"/>
              <w:spacing w:after="0"/>
              <w:rPr>
                <w:sz w:val="20"/>
                <w:szCs w:val="20"/>
                <w:color w:val="auto"/>
              </w:rPr>
            </w:pPr>
            <w:r>
              <w:rPr>
                <w:rFonts w:ascii="Arial" w:cs="Arial" w:eastAsia="Arial" w:hAnsi="Arial"/>
                <w:sz w:val="13"/>
                <w:szCs w:val="13"/>
                <w:color w:val="auto"/>
              </w:rPr>
              <w:t>Amendment 2008-1, dated as of March 6, 2008, to the Second Amended and Restated Employment Agreement, between the Company and Stuart M. Essig</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(Incorporated by reference to Exhibit 10.12(c) to the Company’s Annual Report on Form 10-K for the year ended December 31, 2007)*</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10.12(d)</w:t>
            </w:r>
          </w:p>
        </w:tc>
        <w:tc>
          <w:tcPr>
            <w:tcW w:w="9800" w:type="dxa"/>
            <w:vAlign w:val="bottom"/>
          </w:tcPr>
          <w:p>
            <w:pPr>
              <w:ind w:left="140"/>
              <w:spacing w:after="0"/>
              <w:rPr>
                <w:sz w:val="20"/>
                <w:szCs w:val="20"/>
                <w:color w:val="auto"/>
              </w:rPr>
            </w:pPr>
            <w:r>
              <w:rPr>
                <w:rFonts w:ascii="Arial" w:cs="Arial" w:eastAsia="Arial" w:hAnsi="Arial"/>
                <w:sz w:val="13"/>
                <w:szCs w:val="13"/>
                <w:color w:val="auto"/>
              </w:rPr>
              <w:t>Amendment 2008-2, dated as of August 6, 2008, to the Second Amended and Restated Employment Agreement between Stuart M. Essig and the Company</w:t>
            </w:r>
          </w:p>
        </w:tc>
      </w:tr>
      <w:tr>
        <w:trPr>
          <w:trHeight w:val="165"/>
        </w:trPr>
        <w:tc>
          <w:tcPr>
            <w:tcW w:w="1660" w:type="dxa"/>
            <w:vAlign w:val="bottom"/>
          </w:tcPr>
          <w:p>
            <w:pPr>
              <w:spacing w:after="0"/>
              <w:rPr>
                <w:sz w:val="14"/>
                <w:szCs w:val="14"/>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(Incorporated by reference to Exhibit 10.7 to the Company’s Quarterly Report on Form 10-Q for the quarter ended June 30, 2008)*</w:t>
            </w:r>
          </w:p>
        </w:tc>
      </w:tr>
      <w:tr>
        <w:trPr>
          <w:trHeight w:val="307"/>
        </w:trPr>
        <w:tc>
          <w:tcPr>
            <w:tcW w:w="1660" w:type="dxa"/>
            <w:vAlign w:val="bottom"/>
          </w:tcPr>
          <w:p>
            <w:pPr>
              <w:ind w:left="1080"/>
              <w:spacing w:after="0"/>
              <w:rPr>
                <w:sz w:val="20"/>
                <w:szCs w:val="20"/>
                <w:color w:val="auto"/>
              </w:rPr>
            </w:pPr>
            <w:r>
              <w:rPr>
                <w:rFonts w:ascii="Arial" w:cs="Arial" w:eastAsia="Arial" w:hAnsi="Arial"/>
                <w:sz w:val="13"/>
                <w:szCs w:val="13"/>
                <w:color w:val="auto"/>
              </w:rPr>
              <w:t>10.12(e)</w:t>
            </w:r>
          </w:p>
        </w:tc>
        <w:tc>
          <w:tcPr>
            <w:tcW w:w="9800" w:type="dxa"/>
            <w:vAlign w:val="bottom"/>
          </w:tcPr>
          <w:p>
            <w:pPr>
              <w:ind w:left="140"/>
              <w:spacing w:after="0"/>
              <w:rPr>
                <w:sz w:val="20"/>
                <w:szCs w:val="20"/>
                <w:color w:val="auto"/>
              </w:rPr>
            </w:pPr>
            <w:r>
              <w:rPr>
                <w:rFonts w:ascii="Arial" w:cs="Arial" w:eastAsia="Arial" w:hAnsi="Arial"/>
                <w:sz w:val="13"/>
                <w:szCs w:val="13"/>
                <w:color w:val="auto"/>
                <w:w w:val="99"/>
              </w:rPr>
              <w:t>Amendment 2009-1, dated as of April 13, 2009, to the Second Amended and Restated Employment Agreement between Stuart M. Essig and the Company (Incorporated</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by reference to Exhibit 10.2 to the Company’s Current Report on Form 8-K filed on April 13, 2009)*</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10.13</w:t>
            </w:r>
          </w:p>
        </w:tc>
        <w:tc>
          <w:tcPr>
            <w:tcW w:w="9800" w:type="dxa"/>
            <w:vAlign w:val="bottom"/>
          </w:tcPr>
          <w:p>
            <w:pPr>
              <w:ind w:left="140"/>
              <w:spacing w:after="0"/>
              <w:rPr>
                <w:sz w:val="20"/>
                <w:szCs w:val="20"/>
                <w:color w:val="auto"/>
              </w:rPr>
            </w:pPr>
            <w:r>
              <w:rPr>
                <w:rFonts w:ascii="Arial" w:cs="Arial" w:eastAsia="Arial" w:hAnsi="Arial"/>
                <w:sz w:val="13"/>
                <w:szCs w:val="13"/>
                <w:color w:val="auto"/>
              </w:rPr>
              <w:t>Indemnity letter agreement dated December 27, 1997 from the Company to Stuart M. Essig (Incorporated by reference to Exhibit 10.5 to the Company’s Current Report</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on Form 8-K filed on February 3, 1998)*</w:t>
            </w:r>
          </w:p>
        </w:tc>
      </w:tr>
      <w:tr>
        <w:trPr>
          <w:trHeight w:val="157"/>
        </w:trPr>
        <w:tc>
          <w:tcPr>
            <w:tcW w:w="1660" w:type="dxa"/>
            <w:vAlign w:val="bottom"/>
          </w:tcPr>
          <w:p>
            <w:pPr>
              <w:ind w:left="1080"/>
              <w:spacing w:after="0"/>
              <w:rPr>
                <w:sz w:val="20"/>
                <w:szCs w:val="20"/>
                <w:color w:val="auto"/>
              </w:rPr>
            </w:pPr>
            <w:r>
              <w:rPr>
                <w:rFonts w:ascii="Arial" w:cs="Arial" w:eastAsia="Arial" w:hAnsi="Arial"/>
                <w:sz w:val="13"/>
                <w:szCs w:val="13"/>
                <w:color w:val="auto"/>
              </w:rPr>
              <w:t>10.14(a)</w:t>
            </w:r>
          </w:p>
        </w:tc>
        <w:tc>
          <w:tcPr>
            <w:tcW w:w="9800" w:type="dxa"/>
            <w:vAlign w:val="bottom"/>
          </w:tcPr>
          <w:p>
            <w:pPr>
              <w:ind w:left="140"/>
              <w:spacing w:after="0"/>
              <w:rPr>
                <w:sz w:val="20"/>
                <w:szCs w:val="20"/>
                <w:color w:val="auto"/>
              </w:rPr>
            </w:pPr>
            <w:r>
              <w:rPr>
                <w:rFonts w:ascii="Arial" w:cs="Arial" w:eastAsia="Arial" w:hAnsi="Arial"/>
                <w:sz w:val="13"/>
                <w:szCs w:val="13"/>
                <w:color w:val="auto"/>
              </w:rPr>
              <w:t>Registration Rights Provisions for Stuart M. Essig (Incorporated by reference to Exhibit B of Exhibit 10.1 to the Company’s Current Report on Form 8-K filed on</w:t>
            </w:r>
          </w:p>
        </w:tc>
      </w:tr>
      <w:tr>
        <w:trPr>
          <w:trHeight w:val="157"/>
        </w:trPr>
        <w:tc>
          <w:tcPr>
            <w:tcW w:w="166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3"/>
                <w:szCs w:val="13"/>
                <w:color w:val="auto"/>
              </w:rPr>
              <w:t>February 3, 1998)*</w:t>
            </w:r>
          </w:p>
        </w:tc>
      </w:tr>
      <w:tr>
        <w:trPr>
          <w:trHeight w:val="165"/>
        </w:trPr>
        <w:tc>
          <w:tcPr>
            <w:tcW w:w="1660" w:type="dxa"/>
            <w:vAlign w:val="bottom"/>
          </w:tcPr>
          <w:p>
            <w:pPr>
              <w:ind w:left="1080"/>
              <w:spacing w:after="0"/>
              <w:rPr>
                <w:sz w:val="20"/>
                <w:szCs w:val="20"/>
                <w:color w:val="auto"/>
              </w:rPr>
            </w:pPr>
            <w:r>
              <w:rPr>
                <w:rFonts w:ascii="Arial" w:cs="Arial" w:eastAsia="Arial" w:hAnsi="Arial"/>
                <w:sz w:val="13"/>
                <w:szCs w:val="13"/>
                <w:color w:val="auto"/>
              </w:rPr>
              <w:t>10.14(b)</w:t>
            </w:r>
          </w:p>
        </w:tc>
        <w:tc>
          <w:tcPr>
            <w:tcW w:w="9800" w:type="dxa"/>
            <w:vAlign w:val="bottom"/>
          </w:tcPr>
          <w:p>
            <w:pPr>
              <w:ind w:left="140"/>
              <w:spacing w:after="0"/>
              <w:rPr>
                <w:sz w:val="20"/>
                <w:szCs w:val="20"/>
                <w:color w:val="auto"/>
              </w:rPr>
            </w:pPr>
            <w:r>
              <w:rPr>
                <w:rFonts w:ascii="Arial" w:cs="Arial" w:eastAsia="Arial" w:hAnsi="Arial"/>
                <w:sz w:val="13"/>
                <w:szCs w:val="13"/>
                <w:color w:val="auto"/>
              </w:rPr>
              <w:t>Registration Rights Provisions for Stuart M. Essig (Incorporated by reference to Exhibit 10.2 to the Company’s Current Report on Form 8-K filed on January 8, 2001)*</w:t>
            </w:r>
          </w:p>
        </w:tc>
      </w:tr>
      <w:tr>
        <w:trPr>
          <w:trHeight w:val="163"/>
        </w:trPr>
        <w:tc>
          <w:tcPr>
            <w:tcW w:w="1660" w:type="dxa"/>
            <w:vAlign w:val="bottom"/>
            <w:tcBorders>
              <w:bottom w:val="single" w:sz="8" w:color="808080"/>
            </w:tcBorders>
          </w:tcPr>
          <w:p>
            <w:pPr>
              <w:spacing w:after="0"/>
              <w:rPr>
                <w:sz w:val="14"/>
                <w:szCs w:val="14"/>
                <w:color w:val="auto"/>
              </w:rPr>
            </w:pPr>
          </w:p>
        </w:tc>
        <w:tc>
          <w:tcPr>
            <w:tcW w:w="9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800" w:right="240" w:hanging="720"/>
        <w:spacing w:after="0" w:line="258" w:lineRule="auto"/>
        <w:tabs>
          <w:tab w:leader="none" w:pos="1780" w:val="left"/>
        </w:tabs>
        <w:rPr>
          <w:sz w:val="20"/>
          <w:szCs w:val="20"/>
          <w:color w:val="auto"/>
        </w:rPr>
      </w:pPr>
      <w:r>
        <w:rPr>
          <w:rFonts w:ascii="Arial" w:cs="Arial" w:eastAsia="Arial" w:hAnsi="Arial"/>
          <w:sz w:val="13"/>
          <w:szCs w:val="13"/>
          <w:color w:val="auto"/>
        </w:rPr>
        <w:t>10.14(c)</w:t>
      </w:r>
      <w:r>
        <w:rPr>
          <w:sz w:val="20"/>
          <w:szCs w:val="20"/>
          <w:color w:val="auto"/>
        </w:rPr>
        <w:tab/>
      </w:r>
      <w:r>
        <w:rPr>
          <w:rFonts w:ascii="Arial" w:cs="Arial" w:eastAsia="Arial" w:hAnsi="Arial"/>
          <w:sz w:val="13"/>
          <w:szCs w:val="13"/>
          <w:color w:val="auto"/>
        </w:rPr>
        <w:t>Registration Rights Provisions for Stuart M. Essig (Incorporated by reference to Exhibit B of Exhibit 10.1 to the Company’s Quarterly Report on Form 10-Q for the quarter ended September 30, 2004)*</w:t>
      </w:r>
    </w:p>
    <w:p>
      <w:pPr>
        <w:spacing w:after="0" w:line="1" w:lineRule="exact"/>
        <w:rPr>
          <w:sz w:val="20"/>
          <w:szCs w:val="20"/>
          <w:color w:val="auto"/>
        </w:rPr>
      </w:pPr>
    </w:p>
    <w:p>
      <w:pPr>
        <w:ind w:left="1800" w:right="400" w:hanging="720"/>
        <w:spacing w:after="0" w:line="252" w:lineRule="auto"/>
        <w:tabs>
          <w:tab w:leader="none" w:pos="1780" w:val="left"/>
        </w:tabs>
        <w:rPr>
          <w:sz w:val="20"/>
          <w:szCs w:val="20"/>
          <w:color w:val="auto"/>
        </w:rPr>
      </w:pPr>
      <w:r>
        <w:rPr>
          <w:rFonts w:ascii="Arial" w:cs="Arial" w:eastAsia="Arial" w:hAnsi="Arial"/>
          <w:sz w:val="13"/>
          <w:szCs w:val="13"/>
          <w:color w:val="auto"/>
        </w:rPr>
        <w:t>10.15(a)</w:t>
      </w:r>
      <w:r>
        <w:rPr>
          <w:sz w:val="20"/>
          <w:szCs w:val="20"/>
          <w:color w:val="auto"/>
        </w:rPr>
        <w:tab/>
      </w:r>
      <w:r>
        <w:rPr>
          <w:rFonts w:ascii="Arial" w:cs="Arial" w:eastAsia="Arial" w:hAnsi="Arial"/>
          <w:sz w:val="13"/>
          <w:szCs w:val="13"/>
          <w:color w:val="auto"/>
        </w:rPr>
        <w:t>Amended and Restated 2005 Employment Agreement between John B. Henneman, III and the Company dated December 19, 2005 (Incorporated by reference to Exhibit 10.16 to the Company’s Annual Report on Form 10-K for the year ended December 31, 2005)*</w:t>
      </w:r>
    </w:p>
    <w:p>
      <w:pPr>
        <w:spacing w:after="0" w:line="1" w:lineRule="exact"/>
        <w:rPr>
          <w:sz w:val="20"/>
          <w:szCs w:val="20"/>
          <w:color w:val="auto"/>
        </w:rPr>
      </w:pPr>
    </w:p>
    <w:p>
      <w:pPr>
        <w:ind w:left="1800" w:right="400" w:hanging="720"/>
        <w:spacing w:after="0" w:line="273" w:lineRule="auto"/>
        <w:tabs>
          <w:tab w:leader="none" w:pos="1780" w:val="left"/>
        </w:tabs>
        <w:rPr>
          <w:sz w:val="20"/>
          <w:szCs w:val="20"/>
          <w:color w:val="auto"/>
        </w:rPr>
      </w:pPr>
      <w:r>
        <w:rPr>
          <w:rFonts w:ascii="Arial" w:cs="Arial" w:eastAsia="Arial" w:hAnsi="Arial"/>
          <w:sz w:val="13"/>
          <w:szCs w:val="13"/>
          <w:color w:val="auto"/>
        </w:rPr>
        <w:t>10.15(b)</w:t>
      </w:r>
      <w:r>
        <w:rPr>
          <w:sz w:val="20"/>
          <w:szCs w:val="20"/>
          <w:color w:val="auto"/>
        </w:rPr>
        <w:tab/>
      </w:r>
      <w:r>
        <w:rPr>
          <w:rFonts w:ascii="Arial" w:cs="Arial" w:eastAsia="Arial" w:hAnsi="Arial"/>
          <w:sz w:val="12"/>
          <w:szCs w:val="12"/>
          <w:color w:val="auto"/>
        </w:rPr>
        <w:t>Amendment 2008-1, dated as of January 2, 2008, to the Amended and Restated 2005 Employment Agreement between John B. Henneman, III and the Company (Incorporated by reference to Exhibit 10.15(b) to the Company’s Annual Report on Form 10-K for the year ended December 31, 2007)*</w:t>
      </w:r>
    </w:p>
    <w:p>
      <w:pPr>
        <w:spacing w:after="0" w:line="1" w:lineRule="exact"/>
        <w:rPr>
          <w:sz w:val="20"/>
          <w:szCs w:val="20"/>
          <w:color w:val="auto"/>
        </w:rPr>
      </w:pPr>
    </w:p>
    <w:p>
      <w:pPr>
        <w:ind w:left="1800" w:right="220" w:hanging="720"/>
        <w:spacing w:after="0" w:line="252" w:lineRule="auto"/>
        <w:tabs>
          <w:tab w:leader="none" w:pos="1780" w:val="left"/>
        </w:tabs>
        <w:rPr>
          <w:sz w:val="20"/>
          <w:szCs w:val="20"/>
          <w:color w:val="auto"/>
        </w:rPr>
      </w:pPr>
      <w:r>
        <w:rPr>
          <w:rFonts w:ascii="Arial" w:cs="Arial" w:eastAsia="Arial" w:hAnsi="Arial"/>
          <w:sz w:val="13"/>
          <w:szCs w:val="13"/>
          <w:color w:val="auto"/>
        </w:rPr>
        <w:t>10.15(c)</w:t>
      </w:r>
      <w:r>
        <w:rPr>
          <w:sz w:val="20"/>
          <w:szCs w:val="20"/>
          <w:color w:val="auto"/>
        </w:rPr>
        <w:tab/>
      </w:r>
      <w:r>
        <w:rPr>
          <w:rFonts w:ascii="Arial" w:cs="Arial" w:eastAsia="Arial" w:hAnsi="Arial"/>
          <w:sz w:val="13"/>
          <w:szCs w:val="13"/>
          <w:color w:val="auto"/>
        </w:rPr>
        <w:t>Amendment 2008-2, dated as of December 18, 2008, to the Amended and Restated 2005 Employment Agreement between John B. Henneman, III and the Company (Incorporated by reference to Exhibit 10.2 to the Company’s Current Report on Form 8-K filed on December 24, 2008)*</w:t>
      </w:r>
    </w:p>
    <w:p>
      <w:pPr>
        <w:spacing w:after="0" w:line="1" w:lineRule="exact"/>
        <w:rPr>
          <w:sz w:val="20"/>
          <w:szCs w:val="20"/>
          <w:color w:val="auto"/>
        </w:rPr>
      </w:pPr>
    </w:p>
    <w:p>
      <w:pPr>
        <w:ind w:left="1800" w:right="480" w:hanging="720"/>
        <w:spacing w:after="0" w:line="252" w:lineRule="auto"/>
        <w:tabs>
          <w:tab w:leader="none" w:pos="1780" w:val="left"/>
        </w:tabs>
        <w:rPr>
          <w:sz w:val="20"/>
          <w:szCs w:val="20"/>
          <w:color w:val="auto"/>
        </w:rPr>
      </w:pPr>
      <w:r>
        <w:rPr>
          <w:rFonts w:ascii="Arial" w:cs="Arial" w:eastAsia="Arial" w:hAnsi="Arial"/>
          <w:sz w:val="13"/>
          <w:szCs w:val="13"/>
          <w:color w:val="auto"/>
        </w:rPr>
        <w:t>10.15(d)</w:t>
      </w:r>
      <w:r>
        <w:rPr>
          <w:sz w:val="20"/>
          <w:szCs w:val="20"/>
          <w:color w:val="auto"/>
        </w:rPr>
        <w:tab/>
      </w:r>
      <w:r>
        <w:rPr>
          <w:rFonts w:ascii="Arial" w:cs="Arial" w:eastAsia="Arial" w:hAnsi="Arial"/>
          <w:sz w:val="13"/>
          <w:szCs w:val="13"/>
          <w:color w:val="auto"/>
        </w:rPr>
        <w:t>Amendment 2009-1, dated as of April 13, 2009, to the Amended and Restated 2005 Employment Agreement between John B. Henneman, III and the Company (Incorporated by reference to Exhibit 10.5 to the Company’s Current Report on Form 8-K filed on April 13, 2009)*</w:t>
      </w:r>
    </w:p>
    <w:p>
      <w:pPr>
        <w:spacing w:after="0" w:line="1" w:lineRule="exact"/>
        <w:rPr>
          <w:sz w:val="20"/>
          <w:szCs w:val="20"/>
          <w:color w:val="auto"/>
        </w:rPr>
      </w:pPr>
    </w:p>
    <w:p>
      <w:pPr>
        <w:ind w:left="1800" w:right="320" w:hanging="720"/>
        <w:spacing w:after="0" w:line="252" w:lineRule="auto"/>
        <w:tabs>
          <w:tab w:leader="none" w:pos="1780" w:val="left"/>
        </w:tabs>
        <w:rPr>
          <w:sz w:val="20"/>
          <w:szCs w:val="20"/>
          <w:color w:val="auto"/>
        </w:rPr>
      </w:pPr>
      <w:r>
        <w:rPr>
          <w:rFonts w:ascii="Arial" w:cs="Arial" w:eastAsia="Arial" w:hAnsi="Arial"/>
          <w:sz w:val="13"/>
          <w:szCs w:val="13"/>
          <w:color w:val="auto"/>
        </w:rPr>
        <w:t>10.15(e)</w:t>
      </w:r>
      <w:r>
        <w:rPr>
          <w:sz w:val="20"/>
          <w:szCs w:val="20"/>
          <w:color w:val="auto"/>
        </w:rPr>
        <w:tab/>
      </w:r>
      <w:r>
        <w:rPr>
          <w:rFonts w:ascii="Arial" w:cs="Arial" w:eastAsia="Arial" w:hAnsi="Arial"/>
          <w:sz w:val="13"/>
          <w:szCs w:val="13"/>
          <w:color w:val="auto"/>
        </w:rPr>
        <w:t>Amendment 2010-1, dated as of October 12, 2010, to the Amended and Restated 2005 Employment Agreement between John B. Henneman, III and the Company (Incorporated by reference to Exhibit 10.3 to the Company’s Current Report on Form 8-K filed October 12, 2010)*</w:t>
      </w:r>
    </w:p>
    <w:p>
      <w:pPr>
        <w:spacing w:after="0" w:line="1" w:lineRule="exact"/>
        <w:rPr>
          <w:sz w:val="20"/>
          <w:szCs w:val="20"/>
          <w:color w:val="auto"/>
        </w:rPr>
      </w:pPr>
    </w:p>
    <w:p>
      <w:pPr>
        <w:ind w:left="1800" w:right="100" w:hanging="720"/>
        <w:spacing w:after="0" w:line="252" w:lineRule="auto"/>
        <w:tabs>
          <w:tab w:leader="none" w:pos="1780" w:val="left"/>
        </w:tabs>
        <w:rPr>
          <w:sz w:val="20"/>
          <w:szCs w:val="20"/>
          <w:color w:val="auto"/>
        </w:rPr>
      </w:pPr>
      <w:r>
        <w:rPr>
          <w:rFonts w:ascii="Arial" w:cs="Arial" w:eastAsia="Arial" w:hAnsi="Arial"/>
          <w:sz w:val="13"/>
          <w:szCs w:val="13"/>
          <w:color w:val="auto"/>
        </w:rPr>
        <w:t>10.16(a)</w:t>
      </w:r>
      <w:r>
        <w:rPr>
          <w:sz w:val="20"/>
          <w:szCs w:val="20"/>
          <w:color w:val="auto"/>
        </w:rPr>
        <w:tab/>
      </w:r>
      <w:r>
        <w:rPr>
          <w:rFonts w:ascii="Arial" w:cs="Arial" w:eastAsia="Arial" w:hAnsi="Arial"/>
          <w:sz w:val="13"/>
          <w:szCs w:val="13"/>
          <w:color w:val="auto"/>
        </w:rPr>
        <w:t>Consulting Agreement, dated October 12, 2010, between Integra LifeSciences Holdings Corporation and Inception Surgical (Incorporated by reference to Exhibit 10.1 to the Company’s Current Report on Form 8-K filed on October 12, 2010)*</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Severance Agreement between Judith O’Grady and the Company dated as of January 4, 2010*</w:t>
      </w:r>
    </w:p>
    <w:p>
      <w:pPr>
        <w:spacing w:after="0" w:line="8"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10.17(a)</w:t>
      </w:r>
      <w:r>
        <w:rPr>
          <w:sz w:val="20"/>
          <w:szCs w:val="20"/>
          <w:color w:val="auto"/>
        </w:rPr>
        <w:tab/>
      </w:r>
      <w:r>
        <w:rPr>
          <w:rFonts w:ascii="Arial" w:cs="Arial" w:eastAsia="Arial" w:hAnsi="Arial"/>
          <w:sz w:val="11"/>
          <w:szCs w:val="11"/>
          <w:color w:val="auto"/>
        </w:rPr>
        <w:t>Severance Agreement between Judith O’Grady and the Company dated as of January 3, 2011*+</w:t>
      </w:r>
    </w:p>
    <w:p>
      <w:pPr>
        <w:spacing w:after="0" w:line="8" w:lineRule="exact"/>
        <w:rPr>
          <w:sz w:val="20"/>
          <w:szCs w:val="20"/>
          <w:color w:val="auto"/>
        </w:rPr>
      </w:pPr>
    </w:p>
    <w:p>
      <w:pPr>
        <w:ind w:left="1800" w:right="560" w:hanging="720"/>
        <w:spacing w:after="0" w:line="252" w:lineRule="auto"/>
        <w:tabs>
          <w:tab w:leader="none" w:pos="17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Employment Agreement, dated as of October 12, 2010 between Peter J. Arduini and Integra LifeSciences Holdings Corporation (Incorporated by reference to Exhibit 10.2 to the Company’s Current Report on Form 8-K filed October 12, 2010)*</w:t>
      </w:r>
    </w:p>
    <w:p>
      <w:pPr>
        <w:spacing w:after="0" w:line="1" w:lineRule="exact"/>
        <w:rPr>
          <w:sz w:val="20"/>
          <w:szCs w:val="20"/>
          <w:color w:val="auto"/>
        </w:rPr>
      </w:pPr>
    </w:p>
    <w:p>
      <w:pPr>
        <w:ind w:left="1800" w:hanging="720"/>
        <w:spacing w:after="0" w:line="252" w:lineRule="auto"/>
        <w:tabs>
          <w:tab w:leader="none" w:pos="17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Lease Contract, dated April 1, 2005, between the Puerto Rico Industrial Development Company and Integra CI, Inc. (executed on September 15, 2006) (Incorporated by reference to Exhibit 10.3 to the Company’s Quarterly Report on Form 10-Q for the quarter ended September 30, 2006)</w:t>
      </w:r>
    </w:p>
    <w:p>
      <w:pPr>
        <w:spacing w:after="0" w:line="1" w:lineRule="exact"/>
        <w:rPr>
          <w:sz w:val="20"/>
          <w:szCs w:val="20"/>
          <w:color w:val="auto"/>
        </w:rPr>
      </w:pPr>
    </w:p>
    <w:p>
      <w:pPr>
        <w:ind w:left="1800" w:right="820" w:hanging="720"/>
        <w:spacing w:after="0" w:line="252" w:lineRule="auto"/>
        <w:tabs>
          <w:tab w:leader="none" w:pos="1780" w:val="left"/>
        </w:tabs>
        <w:rPr>
          <w:sz w:val="20"/>
          <w:szCs w:val="20"/>
          <w:color w:val="auto"/>
        </w:rPr>
      </w:pPr>
      <w:r>
        <w:rPr>
          <w:rFonts w:ascii="Arial" w:cs="Arial" w:eastAsia="Arial" w:hAnsi="Arial"/>
          <w:sz w:val="13"/>
          <w:szCs w:val="13"/>
          <w:color w:val="auto"/>
        </w:rPr>
        <w:t>10.20(a)</w:t>
      </w:r>
      <w:r>
        <w:rPr>
          <w:sz w:val="20"/>
          <w:szCs w:val="20"/>
          <w:color w:val="auto"/>
        </w:rPr>
        <w:tab/>
      </w:r>
      <w:r>
        <w:rPr>
          <w:rFonts w:ascii="Arial" w:cs="Arial" w:eastAsia="Arial" w:hAnsi="Arial"/>
          <w:sz w:val="13"/>
          <w:szCs w:val="13"/>
          <w:color w:val="auto"/>
        </w:rPr>
        <w:t>Industrial Real Estate Triple Net Sublease dated July 1, 2001 between Sorrento Montana, L.P. and Camino NeuroCare, Inc. (Incorporated by reference to Exhibit 10.24(a) to the Company’s Annual Report on Form 10-K for the year ended December 31, 2004)</w:t>
      </w:r>
    </w:p>
    <w:p>
      <w:pPr>
        <w:spacing w:after="0" w:line="1" w:lineRule="exact"/>
        <w:rPr>
          <w:sz w:val="20"/>
          <w:szCs w:val="20"/>
          <w:color w:val="auto"/>
        </w:rPr>
      </w:pPr>
    </w:p>
    <w:p>
      <w:pPr>
        <w:ind w:left="1800" w:right="800" w:hanging="720"/>
        <w:spacing w:after="0" w:line="252" w:lineRule="auto"/>
        <w:tabs>
          <w:tab w:leader="none" w:pos="1780" w:val="left"/>
        </w:tabs>
        <w:rPr>
          <w:sz w:val="20"/>
          <w:szCs w:val="20"/>
          <w:color w:val="auto"/>
        </w:rPr>
      </w:pPr>
      <w:r>
        <w:rPr>
          <w:rFonts w:ascii="Arial" w:cs="Arial" w:eastAsia="Arial" w:hAnsi="Arial"/>
          <w:sz w:val="13"/>
          <w:szCs w:val="13"/>
          <w:color w:val="auto"/>
        </w:rPr>
        <w:t>10.20(b)</w:t>
      </w:r>
      <w:r>
        <w:rPr>
          <w:sz w:val="20"/>
          <w:szCs w:val="20"/>
          <w:color w:val="auto"/>
        </w:rPr>
        <w:tab/>
      </w:r>
      <w:r>
        <w:rPr>
          <w:rFonts w:ascii="Arial" w:cs="Arial" w:eastAsia="Arial" w:hAnsi="Arial"/>
          <w:sz w:val="13"/>
          <w:szCs w:val="13"/>
          <w:color w:val="auto"/>
        </w:rPr>
        <w:t>First Amendment to Sublease dated as of July 1, 2003 by and between Sorrento Montana, L.P. and Camino NeuroCare, Inc. (Incorporated by reference to Exhibit 10.24(b) to the Company’s Annual Report on Form 10-K for the year ended December 31, 2004)</w:t>
      </w:r>
    </w:p>
    <w:p>
      <w:pPr>
        <w:spacing w:after="0" w:line="1" w:lineRule="exact"/>
        <w:rPr>
          <w:sz w:val="20"/>
          <w:szCs w:val="20"/>
          <w:color w:val="auto"/>
        </w:rPr>
      </w:pPr>
    </w:p>
    <w:p>
      <w:pPr>
        <w:ind w:left="1800" w:right="640" w:hanging="720"/>
        <w:spacing w:after="0" w:line="252" w:lineRule="auto"/>
        <w:tabs>
          <w:tab w:leader="none" w:pos="1780" w:val="left"/>
        </w:tabs>
        <w:rPr>
          <w:sz w:val="20"/>
          <w:szCs w:val="20"/>
          <w:color w:val="auto"/>
        </w:rPr>
      </w:pPr>
      <w:r>
        <w:rPr>
          <w:rFonts w:ascii="Arial" w:cs="Arial" w:eastAsia="Arial" w:hAnsi="Arial"/>
          <w:sz w:val="13"/>
          <w:szCs w:val="13"/>
          <w:color w:val="auto"/>
        </w:rPr>
        <w:t>10.20(c)</w:t>
      </w:r>
      <w:r>
        <w:rPr>
          <w:sz w:val="20"/>
          <w:szCs w:val="20"/>
          <w:color w:val="auto"/>
        </w:rPr>
        <w:tab/>
      </w:r>
      <w:r>
        <w:rPr>
          <w:rFonts w:ascii="Arial" w:cs="Arial" w:eastAsia="Arial" w:hAnsi="Arial"/>
          <w:sz w:val="13"/>
          <w:szCs w:val="13"/>
          <w:color w:val="auto"/>
        </w:rPr>
        <w:t>Second Amendment to Sublease dated as of June 1, 2004 by and between Sorrento Montana, L.P. and Camino NeuroCare, Inc. (Incorporated by reference to Exhibit 10.24(c) to the Company’s Annual Report on Form 10-K for the year ended December 31, 2004)</w:t>
      </w:r>
    </w:p>
    <w:p>
      <w:pPr>
        <w:spacing w:after="0" w:line="1" w:lineRule="exact"/>
        <w:rPr>
          <w:sz w:val="20"/>
          <w:szCs w:val="20"/>
          <w:color w:val="auto"/>
        </w:rPr>
      </w:pPr>
    </w:p>
    <w:p>
      <w:pPr>
        <w:ind w:left="1800" w:right="200" w:hanging="720"/>
        <w:spacing w:after="0" w:line="264" w:lineRule="auto"/>
        <w:tabs>
          <w:tab w:leader="none" w:pos="1780" w:val="left"/>
        </w:tabs>
        <w:rPr>
          <w:sz w:val="20"/>
          <w:szCs w:val="20"/>
          <w:color w:val="auto"/>
        </w:rPr>
      </w:pPr>
      <w:r>
        <w:rPr>
          <w:rFonts w:ascii="Arial" w:cs="Arial" w:eastAsia="Arial" w:hAnsi="Arial"/>
          <w:sz w:val="13"/>
          <w:szCs w:val="13"/>
          <w:color w:val="auto"/>
        </w:rPr>
        <w:t>10.20(d)</w:t>
      </w:r>
      <w:r>
        <w:rPr>
          <w:sz w:val="20"/>
          <w:szCs w:val="20"/>
          <w:color w:val="auto"/>
        </w:rPr>
        <w:tab/>
      </w:r>
      <w:r>
        <w:rPr>
          <w:rFonts w:ascii="Arial" w:cs="Arial" w:eastAsia="Arial" w:hAnsi="Arial"/>
          <w:sz w:val="13"/>
          <w:szCs w:val="13"/>
          <w:color w:val="auto"/>
        </w:rPr>
        <w:t>Third Amendment to Sublease dated as of June 15, 2004 by and between Sorrento Montana, L.P. and Integra LifeSciences Corporation (Incorporated by reference to Exhibit 10.24(d) to the Company’s Annual Report on Form 10-K for the year ended December 31, 2004)</w:t>
      </w:r>
    </w:p>
    <w:p>
      <w:pPr>
        <w:spacing w:after="0" w:line="135" w:lineRule="exact"/>
        <w:rPr>
          <w:sz w:val="20"/>
          <w:szCs w:val="20"/>
          <w:color w:val="auto"/>
        </w:rPr>
      </w:pPr>
    </w:p>
    <w:p>
      <w:pPr>
        <w:ind w:left="1800" w:right="80" w:hanging="720"/>
        <w:spacing w:after="0" w:line="258" w:lineRule="auto"/>
        <w:tabs>
          <w:tab w:leader="none" w:pos="1780" w:val="left"/>
        </w:tabs>
        <w:rPr>
          <w:sz w:val="20"/>
          <w:szCs w:val="20"/>
          <w:color w:val="auto"/>
        </w:rPr>
      </w:pPr>
      <w:r>
        <w:rPr>
          <w:rFonts w:ascii="Arial" w:cs="Arial" w:eastAsia="Arial" w:hAnsi="Arial"/>
          <w:sz w:val="13"/>
          <w:szCs w:val="13"/>
          <w:color w:val="auto"/>
        </w:rPr>
        <w:t>10.20(e)</w:t>
      </w:r>
      <w:r>
        <w:rPr>
          <w:sz w:val="20"/>
          <w:szCs w:val="20"/>
          <w:color w:val="auto"/>
        </w:rPr>
        <w:tab/>
      </w:r>
      <w:r>
        <w:rPr>
          <w:rFonts w:ascii="Arial" w:cs="Arial" w:eastAsia="Arial" w:hAnsi="Arial"/>
          <w:sz w:val="13"/>
          <w:szCs w:val="13"/>
          <w:color w:val="auto"/>
        </w:rPr>
        <w:t>Fourth Amendment to Sublease, dated as of August 15, 2006, by and between Sorrento Montana, L.P. and Integra LifeSciences Corporation (Incorporated by reference to Exhibit 10.1 to the Company’s Current Report on Form 8-K filed on August 17, 2006)</w:t>
      </w:r>
    </w:p>
    <w:p>
      <w:pPr>
        <w:spacing w:after="0" w:line="1" w:lineRule="exact"/>
        <w:rPr>
          <w:sz w:val="20"/>
          <w:szCs w:val="20"/>
          <w:color w:val="auto"/>
        </w:rPr>
      </w:pPr>
    </w:p>
    <w:p>
      <w:pPr>
        <w:ind w:left="1800" w:right="100" w:hanging="720"/>
        <w:spacing w:after="0" w:line="252" w:lineRule="auto"/>
        <w:tabs>
          <w:tab w:leader="none" w:pos="17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Restricted Units Agreement dated December 27, 1997 between the Company and Stuart M. Essig (Incorporated by reference to Exhibit 10.3 to the Company’s Current Report on Form 8-K filed on February 3, 1998)*</w:t>
      </w:r>
    </w:p>
    <w:p>
      <w:pPr>
        <w:spacing w:after="0" w:line="1" w:lineRule="exact"/>
        <w:rPr>
          <w:sz w:val="20"/>
          <w:szCs w:val="20"/>
          <w:color w:val="auto"/>
        </w:rPr>
      </w:pPr>
    </w:p>
    <w:p>
      <w:pPr>
        <w:ind w:left="1800" w:right="200" w:hanging="720"/>
        <w:spacing w:after="0" w:line="252" w:lineRule="auto"/>
        <w:tabs>
          <w:tab w:leader="none" w:pos="178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Stock Option Grant and Agreement dated December 22, 2000 between the Company and Stuart M. Essig (Incorporated by reference to Exhibit 4.1 to the Company’s Current Report on Form 8-K filed on January 8, 2001)*</w:t>
      </w:r>
    </w:p>
    <w:p>
      <w:pPr>
        <w:spacing w:after="0" w:line="1" w:lineRule="exact"/>
        <w:rPr>
          <w:sz w:val="20"/>
          <w:szCs w:val="20"/>
          <w:color w:val="auto"/>
        </w:rPr>
      </w:pPr>
    </w:p>
    <w:p>
      <w:pPr>
        <w:ind w:left="1800" w:right="200" w:hanging="720"/>
        <w:spacing w:after="0" w:line="264" w:lineRule="auto"/>
        <w:tabs>
          <w:tab w:leader="none" w:pos="178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Stock Option Grant and Agreement dated December 22, 2000 between the Company and Stuart M. Essig (Incorporated by reference to Exhibit 4.2 to the Company’s Current Report on Form 8-K filed on January 8,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800" w:right="160" w:hanging="720"/>
        <w:spacing w:after="0" w:line="258" w:lineRule="auto"/>
        <w:tabs>
          <w:tab w:leader="none" w:pos="1780" w:val="left"/>
        </w:tabs>
        <w:rPr>
          <w:sz w:val="20"/>
          <w:szCs w:val="20"/>
          <w:color w:val="auto"/>
        </w:rPr>
      </w:pPr>
      <w:r>
        <w:rPr>
          <w:rFonts w:ascii="Arial" w:cs="Arial" w:eastAsia="Arial" w:hAnsi="Arial"/>
          <w:sz w:val="13"/>
          <w:szCs w:val="13"/>
          <w:color w:val="auto"/>
        </w:rPr>
        <w:t>10.24(a)</w:t>
      </w:r>
      <w:r>
        <w:rPr>
          <w:sz w:val="20"/>
          <w:szCs w:val="20"/>
          <w:color w:val="auto"/>
        </w:rPr>
        <w:tab/>
      </w:r>
      <w:r>
        <w:rPr>
          <w:rFonts w:ascii="Arial" w:cs="Arial" w:eastAsia="Arial" w:hAnsi="Arial"/>
          <w:sz w:val="13"/>
          <w:szCs w:val="13"/>
          <w:color w:val="auto"/>
        </w:rPr>
        <w:t>Restricted Units Agreement dated December 22, 2000 Between the Company and Stuart M. Essig (Incorporated by reference to Exhibit 4.3 to the Company’s Current Report on Form 8-K filed on January 8, 2001)*</w:t>
      </w:r>
    </w:p>
    <w:p>
      <w:pPr>
        <w:spacing w:after="0" w:line="1" w:lineRule="exact"/>
        <w:rPr>
          <w:sz w:val="20"/>
          <w:szCs w:val="20"/>
          <w:color w:val="auto"/>
        </w:rPr>
      </w:pPr>
    </w:p>
    <w:p>
      <w:pPr>
        <w:ind w:left="1800" w:right="300" w:hanging="720"/>
        <w:spacing w:after="0" w:line="252" w:lineRule="auto"/>
        <w:tabs>
          <w:tab w:leader="none" w:pos="1780" w:val="left"/>
        </w:tabs>
        <w:rPr>
          <w:sz w:val="20"/>
          <w:szCs w:val="20"/>
          <w:color w:val="auto"/>
        </w:rPr>
      </w:pPr>
      <w:r>
        <w:rPr>
          <w:rFonts w:ascii="Arial" w:cs="Arial" w:eastAsia="Arial" w:hAnsi="Arial"/>
          <w:sz w:val="13"/>
          <w:szCs w:val="13"/>
          <w:color w:val="auto"/>
        </w:rPr>
        <w:t>10.24(b)</w:t>
      </w:r>
      <w:r>
        <w:rPr>
          <w:sz w:val="20"/>
          <w:szCs w:val="20"/>
          <w:color w:val="auto"/>
        </w:rPr>
        <w:tab/>
      </w:r>
      <w:r>
        <w:rPr>
          <w:rFonts w:ascii="Arial" w:cs="Arial" w:eastAsia="Arial" w:hAnsi="Arial"/>
          <w:sz w:val="13"/>
          <w:szCs w:val="13"/>
          <w:color w:val="auto"/>
        </w:rPr>
        <w:t>Amendment 2006-1, dated as of October 30, 2006, to the Stuart M. Essig Restricted Units Agreement dated as of December 22, 2000 (Incorporated by reference to Exhibit 10.1 to the Company’s Current Report on Form 8-K filed on November 3, 2006)*</w:t>
      </w:r>
    </w:p>
    <w:p>
      <w:pPr>
        <w:spacing w:after="0" w:line="1" w:lineRule="exact"/>
        <w:rPr>
          <w:sz w:val="20"/>
          <w:szCs w:val="20"/>
          <w:color w:val="auto"/>
        </w:rPr>
      </w:pPr>
    </w:p>
    <w:p>
      <w:pPr>
        <w:ind w:left="1800" w:right="400" w:hanging="720"/>
        <w:spacing w:after="0" w:line="252" w:lineRule="auto"/>
        <w:tabs>
          <w:tab w:leader="none" w:pos="178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3"/>
          <w:szCs w:val="13"/>
          <w:color w:val="auto"/>
        </w:rPr>
        <w:t>Stock Option Grant and Agreement dated July 27, 2004 between the Company and Stuart M. Essig (Incorporated by reference to Exhibit 10.30 to the Company’s Annual Report on Form 10-K for the year ended December 31, 2004)*</w:t>
      </w:r>
    </w:p>
    <w:p>
      <w:pPr>
        <w:spacing w:after="0" w:line="1" w:lineRule="exact"/>
        <w:rPr>
          <w:sz w:val="20"/>
          <w:szCs w:val="20"/>
          <w:color w:val="auto"/>
        </w:rPr>
      </w:pPr>
    </w:p>
    <w:p>
      <w:pPr>
        <w:ind w:left="1800" w:right="620" w:hanging="720"/>
        <w:spacing w:after="0" w:line="252" w:lineRule="auto"/>
        <w:tabs>
          <w:tab w:leader="none" w:pos="1780" w:val="left"/>
        </w:tabs>
        <w:rPr>
          <w:sz w:val="20"/>
          <w:szCs w:val="20"/>
          <w:color w:val="auto"/>
        </w:rPr>
      </w:pPr>
      <w:r>
        <w:rPr>
          <w:rFonts w:ascii="Arial" w:cs="Arial" w:eastAsia="Arial" w:hAnsi="Arial"/>
          <w:sz w:val="13"/>
          <w:szCs w:val="13"/>
          <w:color w:val="auto"/>
        </w:rPr>
        <w:t>10.26(a)</w:t>
      </w:r>
      <w:r>
        <w:rPr>
          <w:sz w:val="20"/>
          <w:szCs w:val="20"/>
          <w:color w:val="auto"/>
        </w:rPr>
        <w:tab/>
      </w:r>
      <w:r>
        <w:rPr>
          <w:rFonts w:ascii="Arial" w:cs="Arial" w:eastAsia="Arial" w:hAnsi="Arial"/>
          <w:sz w:val="13"/>
          <w:szCs w:val="13"/>
          <w:color w:val="auto"/>
        </w:rPr>
        <w:t>Contract Stock/Restricted Units Agreement dated July 27, 2004 between the Company and Stuart M. Essig (Incorporated by reference to Exhibit 10.31 to the Company’s Annual Report on Form 10-K for the year ended December 31, 2004)*</w:t>
      </w:r>
    </w:p>
    <w:p>
      <w:pPr>
        <w:spacing w:after="0" w:line="1" w:lineRule="exact"/>
        <w:rPr>
          <w:sz w:val="20"/>
          <w:szCs w:val="20"/>
          <w:color w:val="auto"/>
        </w:rPr>
      </w:pPr>
    </w:p>
    <w:p>
      <w:pPr>
        <w:ind w:left="1800" w:right="460" w:hanging="720"/>
        <w:spacing w:after="0" w:line="252" w:lineRule="auto"/>
        <w:tabs>
          <w:tab w:leader="none" w:pos="1780" w:val="left"/>
        </w:tabs>
        <w:rPr>
          <w:sz w:val="20"/>
          <w:szCs w:val="20"/>
          <w:color w:val="auto"/>
        </w:rPr>
      </w:pPr>
      <w:r>
        <w:rPr>
          <w:rFonts w:ascii="Arial" w:cs="Arial" w:eastAsia="Arial" w:hAnsi="Arial"/>
          <w:sz w:val="13"/>
          <w:szCs w:val="13"/>
          <w:color w:val="auto"/>
        </w:rPr>
        <w:t>10.26(b)</w:t>
      </w:r>
      <w:r>
        <w:rPr>
          <w:sz w:val="20"/>
          <w:szCs w:val="20"/>
          <w:color w:val="auto"/>
        </w:rPr>
        <w:tab/>
      </w:r>
      <w:r>
        <w:rPr>
          <w:rFonts w:ascii="Arial" w:cs="Arial" w:eastAsia="Arial" w:hAnsi="Arial"/>
          <w:sz w:val="13"/>
          <w:szCs w:val="13"/>
          <w:color w:val="auto"/>
        </w:rPr>
        <w:t>Amendment 2006-1, dated as of October 30, 2006, to the Stuart M. Essig Contract Stock/Restricted Units Agreement dated as of July 27, 2004 (Incorporated by reference to Exhibit 10.2 to the Company’s Current Report on Form 8-K filed on November 3, 2006)*</w:t>
      </w:r>
    </w:p>
    <w:p>
      <w:pPr>
        <w:spacing w:after="0" w:line="1" w:lineRule="exact"/>
        <w:rPr>
          <w:sz w:val="20"/>
          <w:szCs w:val="20"/>
          <w:color w:val="auto"/>
        </w:rPr>
      </w:pPr>
    </w:p>
    <w:p>
      <w:pPr>
        <w:ind w:left="1800" w:right="80" w:hanging="720"/>
        <w:spacing w:after="0" w:line="252" w:lineRule="auto"/>
        <w:tabs>
          <w:tab w:leader="none" w:pos="1780" w:val="left"/>
        </w:tabs>
        <w:rPr>
          <w:sz w:val="20"/>
          <w:szCs w:val="20"/>
          <w:color w:val="auto"/>
        </w:rPr>
      </w:pPr>
      <w:r>
        <w:rPr>
          <w:rFonts w:ascii="Arial" w:cs="Arial" w:eastAsia="Arial" w:hAnsi="Arial"/>
          <w:sz w:val="13"/>
          <w:szCs w:val="13"/>
          <w:color w:val="auto"/>
        </w:rPr>
        <w:t>10.26(c)</w:t>
      </w:r>
      <w:r>
        <w:rPr>
          <w:sz w:val="20"/>
          <w:szCs w:val="20"/>
          <w:color w:val="auto"/>
        </w:rPr>
        <w:tab/>
      </w:r>
      <w:r>
        <w:rPr>
          <w:rFonts w:ascii="Arial" w:cs="Arial" w:eastAsia="Arial" w:hAnsi="Arial"/>
          <w:sz w:val="13"/>
          <w:szCs w:val="13"/>
          <w:color w:val="auto"/>
        </w:rPr>
        <w:t>Amendment 2008-1, dated as of March 6, 2008, to the Stuart M. Essig Contract Stock/Restricted Units Agreement dated as of July 27, 2004 (Incorporated by reference to Exhibit 10.25(c) to the Company’s Annual Report on Form 10-K for the year ended December 31, 2007)*</w:t>
      </w:r>
    </w:p>
    <w:p>
      <w:pPr>
        <w:spacing w:after="0" w:line="1" w:lineRule="exact"/>
        <w:rPr>
          <w:sz w:val="20"/>
          <w:szCs w:val="20"/>
          <w:color w:val="auto"/>
        </w:rPr>
      </w:pPr>
    </w:p>
    <w:p>
      <w:pPr>
        <w:ind w:left="1800" w:right="40" w:hanging="720"/>
        <w:spacing w:after="0" w:line="252" w:lineRule="auto"/>
        <w:tabs>
          <w:tab w:leader="none" w:pos="178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Form of Stock Option Grant and Agreement between the Company and Stuart M. Essig (Incorporated by reference to Exhibit 10.32 to the Company’s Annual Report on Form 10-K for the year ended December 31, 2004)*</w:t>
      </w:r>
    </w:p>
    <w:p>
      <w:pPr>
        <w:spacing w:after="0" w:line="1" w:lineRule="exact"/>
        <w:rPr>
          <w:sz w:val="20"/>
          <w:szCs w:val="20"/>
          <w:color w:val="auto"/>
        </w:rPr>
      </w:pPr>
    </w:p>
    <w:p>
      <w:pPr>
        <w:ind w:left="1800" w:hanging="720"/>
        <w:spacing w:after="0" w:line="252" w:lineRule="auto"/>
        <w:tabs>
          <w:tab w:leader="none" w:pos="1780" w:val="left"/>
        </w:tabs>
        <w:rPr>
          <w:sz w:val="20"/>
          <w:szCs w:val="20"/>
          <w:color w:val="auto"/>
        </w:rPr>
      </w:pPr>
      <w:r>
        <w:rPr>
          <w:rFonts w:ascii="Arial" w:cs="Arial" w:eastAsia="Arial" w:hAnsi="Arial"/>
          <w:sz w:val="13"/>
          <w:szCs w:val="13"/>
          <w:color w:val="auto"/>
        </w:rPr>
        <w:t>10.28(a)</w:t>
      </w:r>
      <w:r>
        <w:rPr>
          <w:sz w:val="20"/>
          <w:szCs w:val="20"/>
          <w:color w:val="auto"/>
        </w:rPr>
        <w:tab/>
      </w:r>
      <w:r>
        <w:rPr>
          <w:rFonts w:ascii="Arial" w:cs="Arial" w:eastAsia="Arial" w:hAnsi="Arial"/>
          <w:sz w:val="13"/>
          <w:szCs w:val="13"/>
          <w:color w:val="auto"/>
        </w:rPr>
        <w:t>Form of Contract Stock/Restricted Units Agreement for Stuart M. Essig (Incorporated by reference to Exhibit 10.8 to the Company’s Quarterly Report on Form 10-Q for the quarter ended June 30, 2008)*</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10.28(b)</w:t>
      </w:r>
      <w:r>
        <w:rPr>
          <w:sz w:val="20"/>
          <w:szCs w:val="20"/>
          <w:color w:val="auto"/>
        </w:rPr>
        <w:tab/>
      </w:r>
      <w:r>
        <w:rPr>
          <w:rFonts w:ascii="Arial" w:cs="Arial" w:eastAsia="Arial" w:hAnsi="Arial"/>
          <w:sz w:val="12"/>
          <w:szCs w:val="12"/>
          <w:color w:val="auto"/>
        </w:rPr>
        <w:t>New Form of Contract Stock/Restricted Unites Agreement (for Annual Equity Awards) for Stuart M. Essig*+</w:t>
      </w:r>
    </w:p>
    <w:p>
      <w:pPr>
        <w:spacing w:after="0" w:line="8" w:lineRule="exact"/>
        <w:rPr>
          <w:sz w:val="20"/>
          <w:szCs w:val="20"/>
          <w:color w:val="auto"/>
        </w:rPr>
      </w:pPr>
    </w:p>
    <w:p>
      <w:pPr>
        <w:ind w:left="1800" w:right="60" w:hanging="720"/>
        <w:spacing w:after="0" w:line="252" w:lineRule="auto"/>
        <w:tabs>
          <w:tab w:leader="none" w:pos="178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3"/>
          <w:szCs w:val="13"/>
          <w:color w:val="auto"/>
        </w:rPr>
        <w:t>Form of Performance Stock Agreement for Stuart M. Essig (Incorporated by reference to Exhibit 10.9 to the Company’s Quarterly Report on Form 10-Q for the quarter ended June 30, 2008)*</w:t>
      </w:r>
    </w:p>
    <w:p>
      <w:pPr>
        <w:spacing w:after="0" w:line="1" w:lineRule="exact"/>
        <w:rPr>
          <w:sz w:val="20"/>
          <w:szCs w:val="20"/>
          <w:color w:val="auto"/>
        </w:rPr>
      </w:pPr>
    </w:p>
    <w:p>
      <w:pPr>
        <w:ind w:left="1800" w:right="400" w:hanging="720"/>
        <w:spacing w:after="0" w:line="252" w:lineRule="auto"/>
        <w:tabs>
          <w:tab w:leader="none" w:pos="178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Form of Restricted Stock Agreement for Stuart M. Essig for 2009 (Incorporated by reference to Exhibit 10.3 to the Company’s Current Report on Form 8-K filed April 13, 2009)*</w:t>
      </w:r>
    </w:p>
    <w:p>
      <w:pPr>
        <w:spacing w:after="0" w:line="1" w:lineRule="exact"/>
        <w:rPr>
          <w:sz w:val="20"/>
          <w:szCs w:val="20"/>
          <w:color w:val="auto"/>
        </w:rPr>
      </w:pPr>
    </w:p>
    <w:p>
      <w:pPr>
        <w:ind w:left="1800" w:right="140" w:hanging="720"/>
        <w:spacing w:after="0" w:line="252" w:lineRule="auto"/>
        <w:tabs>
          <w:tab w:leader="none" w:pos="178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3"/>
          <w:szCs w:val="13"/>
          <w:color w:val="auto"/>
        </w:rPr>
        <w:t>Form of Notice of Grant of Stock Option and Stock Option Agreement (Incorporated by reference to Exhibit 10.1 to the Company’s Current Report on Form 8-K filed on July 29, 2005)*</w:t>
      </w:r>
    </w:p>
    <w:p>
      <w:pPr>
        <w:spacing w:after="0" w:line="1" w:lineRule="exact"/>
        <w:rPr>
          <w:sz w:val="20"/>
          <w:szCs w:val="20"/>
          <w:color w:val="auto"/>
        </w:rPr>
      </w:pPr>
    </w:p>
    <w:p>
      <w:pPr>
        <w:ind w:left="1800" w:right="180" w:hanging="720"/>
        <w:spacing w:after="0" w:line="252" w:lineRule="auto"/>
        <w:tabs>
          <w:tab w:leader="none" w:pos="178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3"/>
          <w:szCs w:val="13"/>
          <w:color w:val="auto"/>
        </w:rPr>
        <w:t>Form of Non-Qualified Stock Option Agreement (Non-Directors) (Incorporated by reference to Exhibit 10.35 to the Company’s Annual Report on Form 10-K for the year ended December 31, 2004)*</w:t>
      </w:r>
    </w:p>
    <w:p>
      <w:pPr>
        <w:spacing w:after="0" w:line="1" w:lineRule="exact"/>
        <w:rPr>
          <w:sz w:val="20"/>
          <w:szCs w:val="20"/>
          <w:color w:val="auto"/>
        </w:rPr>
      </w:pPr>
    </w:p>
    <w:p>
      <w:pPr>
        <w:ind w:left="1800" w:right="740" w:hanging="720"/>
        <w:spacing w:after="0" w:line="252" w:lineRule="auto"/>
        <w:tabs>
          <w:tab w:leader="none" w:pos="178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3"/>
          <w:szCs w:val="13"/>
          <w:color w:val="auto"/>
        </w:rPr>
        <w:t>Form of Incentive Stock Option Agreement (Incorporated by reference to Exhibit 10.36 to the Company’s Annual Report on Form 10-K for the year ended December 31, 2004)*</w:t>
      </w:r>
    </w:p>
    <w:p>
      <w:pPr>
        <w:spacing w:after="0" w:line="1" w:lineRule="exact"/>
        <w:rPr>
          <w:sz w:val="20"/>
          <w:szCs w:val="20"/>
          <w:color w:val="auto"/>
        </w:rPr>
      </w:pPr>
    </w:p>
    <w:p>
      <w:pPr>
        <w:ind w:left="1800" w:right="200" w:hanging="720"/>
        <w:spacing w:after="0" w:line="252" w:lineRule="auto"/>
        <w:tabs>
          <w:tab w:leader="none" w:pos="178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3"/>
          <w:szCs w:val="13"/>
          <w:color w:val="auto"/>
        </w:rPr>
        <w:t>Form of Non-Qualified Stock Option Agreement (Directors) (Incorporated by reference to Exhibit 10.37 to the Company’s Annual Report on Form 10-K for the year ended December 31, 2004)*</w:t>
      </w:r>
    </w:p>
    <w:p>
      <w:pPr>
        <w:spacing w:after="0" w:line="1" w:lineRule="exact"/>
        <w:rPr>
          <w:sz w:val="20"/>
          <w:szCs w:val="20"/>
          <w:color w:val="auto"/>
        </w:rPr>
      </w:pPr>
    </w:p>
    <w:p>
      <w:pPr>
        <w:ind w:left="1800" w:right="220" w:hanging="720"/>
        <w:spacing w:after="0" w:line="252" w:lineRule="auto"/>
        <w:tabs>
          <w:tab w:leader="none" w:pos="1780" w:val="left"/>
        </w:tabs>
        <w:rPr>
          <w:sz w:val="20"/>
          <w:szCs w:val="20"/>
          <w:color w:val="auto"/>
        </w:rPr>
      </w:pPr>
      <w:r>
        <w:rPr>
          <w:rFonts w:ascii="Arial" w:cs="Arial" w:eastAsia="Arial" w:hAnsi="Arial"/>
          <w:sz w:val="13"/>
          <w:szCs w:val="13"/>
          <w:color w:val="auto"/>
        </w:rPr>
        <w:t>10.35(a)</w:t>
      </w:r>
      <w:r>
        <w:rPr>
          <w:sz w:val="20"/>
          <w:szCs w:val="20"/>
          <w:color w:val="auto"/>
        </w:rPr>
        <w:tab/>
      </w:r>
      <w:r>
        <w:rPr>
          <w:rFonts w:ascii="Arial" w:cs="Arial" w:eastAsia="Arial" w:hAnsi="Arial"/>
          <w:sz w:val="13"/>
          <w:szCs w:val="13"/>
          <w:color w:val="auto"/>
        </w:rPr>
        <w:t>Compensation of Directors of the Company effective July 9, 2008 (Incorporated by reference to Exhibit 10.1 to the Company’s Current Report on Form 8-K filed on July 11, 2008)*</w:t>
      </w:r>
    </w:p>
    <w:p>
      <w:pPr>
        <w:spacing w:after="0" w:line="1" w:lineRule="exact"/>
        <w:rPr>
          <w:sz w:val="20"/>
          <w:szCs w:val="20"/>
          <w:color w:val="auto"/>
        </w:rPr>
      </w:pPr>
    </w:p>
    <w:p>
      <w:pPr>
        <w:ind w:left="1800" w:right="140" w:hanging="720"/>
        <w:spacing w:after="0" w:line="252" w:lineRule="auto"/>
        <w:tabs>
          <w:tab w:leader="none" w:pos="1780" w:val="left"/>
        </w:tabs>
        <w:rPr>
          <w:sz w:val="20"/>
          <w:szCs w:val="20"/>
          <w:color w:val="auto"/>
        </w:rPr>
      </w:pPr>
      <w:r>
        <w:rPr>
          <w:rFonts w:ascii="Arial" w:cs="Arial" w:eastAsia="Arial" w:hAnsi="Arial"/>
          <w:sz w:val="13"/>
          <w:szCs w:val="13"/>
          <w:color w:val="auto"/>
        </w:rPr>
        <w:t>10.35(b)</w:t>
      </w:r>
      <w:r>
        <w:rPr>
          <w:sz w:val="20"/>
          <w:szCs w:val="20"/>
          <w:color w:val="auto"/>
        </w:rPr>
        <w:tab/>
      </w:r>
      <w:r>
        <w:rPr>
          <w:rFonts w:ascii="Arial" w:cs="Arial" w:eastAsia="Arial" w:hAnsi="Arial"/>
          <w:sz w:val="13"/>
          <w:szCs w:val="13"/>
          <w:color w:val="auto"/>
        </w:rPr>
        <w:t>Compensation of Directors of the Company effective May 17, 2011 (Incorporated by reference to Exhibit 10.1 to the Company’s Current Report on Form 8-K filed on December 16, 2010)*</w:t>
      </w:r>
    </w:p>
    <w:p>
      <w:pPr>
        <w:spacing w:after="0" w:line="1" w:lineRule="exact"/>
        <w:rPr>
          <w:sz w:val="20"/>
          <w:szCs w:val="20"/>
          <w:color w:val="auto"/>
        </w:rPr>
      </w:pPr>
    </w:p>
    <w:p>
      <w:pPr>
        <w:ind w:left="1800" w:right="200" w:hanging="720"/>
        <w:spacing w:after="0" w:line="264" w:lineRule="auto"/>
        <w:tabs>
          <w:tab w:leader="none" w:pos="1780" w:val="left"/>
        </w:tabs>
        <w:rPr>
          <w:sz w:val="20"/>
          <w:szCs w:val="20"/>
          <w:color w:val="auto"/>
        </w:rPr>
      </w:pPr>
      <w:r>
        <w:rPr>
          <w:rFonts w:ascii="Arial" w:cs="Arial" w:eastAsia="Arial" w:hAnsi="Arial"/>
          <w:sz w:val="13"/>
          <w:szCs w:val="13"/>
          <w:color w:val="auto"/>
        </w:rPr>
        <w:t>10.36(a)</w:t>
      </w:r>
      <w:r>
        <w:rPr>
          <w:sz w:val="20"/>
          <w:szCs w:val="20"/>
          <w:color w:val="auto"/>
        </w:rPr>
        <w:tab/>
      </w:r>
      <w:r>
        <w:rPr>
          <w:rFonts w:ascii="Arial" w:cs="Arial" w:eastAsia="Arial" w:hAnsi="Arial"/>
          <w:sz w:val="13"/>
          <w:szCs w:val="13"/>
          <w:color w:val="auto"/>
        </w:rPr>
        <w:t>Form of Restricted Stock Agreement for Non-Employee Directors under the Integra LifeSciences Holdings Corporation 2003 Equity Incentive Plan (Incorporated by reference to Exhibit 10.2 to the Company’s Current Report on Form 8-K filed on May 17, 2005)*</w:t>
      </w:r>
    </w:p>
    <w:p>
      <w:pPr>
        <w:spacing w:after="0" w:line="135" w:lineRule="exact"/>
        <w:rPr>
          <w:sz w:val="20"/>
          <w:szCs w:val="20"/>
          <w:color w:val="auto"/>
        </w:rPr>
      </w:pPr>
    </w:p>
    <w:p>
      <w:pPr>
        <w:ind w:left="1800" w:right="200" w:hanging="720"/>
        <w:spacing w:after="0" w:line="258" w:lineRule="auto"/>
        <w:tabs>
          <w:tab w:leader="none" w:pos="1780" w:val="left"/>
        </w:tabs>
        <w:rPr>
          <w:sz w:val="20"/>
          <w:szCs w:val="20"/>
          <w:color w:val="auto"/>
        </w:rPr>
      </w:pPr>
      <w:r>
        <w:rPr>
          <w:rFonts w:ascii="Arial" w:cs="Arial" w:eastAsia="Arial" w:hAnsi="Arial"/>
          <w:sz w:val="13"/>
          <w:szCs w:val="13"/>
          <w:color w:val="auto"/>
        </w:rPr>
        <w:t>10.36(b)</w:t>
      </w:r>
      <w:r>
        <w:rPr>
          <w:sz w:val="20"/>
          <w:szCs w:val="20"/>
          <w:color w:val="auto"/>
        </w:rPr>
        <w:tab/>
      </w:r>
      <w:r>
        <w:rPr>
          <w:rFonts w:ascii="Arial" w:cs="Arial" w:eastAsia="Arial" w:hAnsi="Arial"/>
          <w:sz w:val="13"/>
          <w:szCs w:val="13"/>
          <w:color w:val="auto"/>
        </w:rPr>
        <w:t>Form of Restricted Stock Agreement for Non-Employee Directors under the Integra LifeSciences Holdings Corporation 2003 Equity Incentive Plan (Incorporated by reference to Exhibit 10.4 to the Company’s Quarterly Report on Form 10-Q for the quarter ended June 30, 2008*</w:t>
      </w:r>
    </w:p>
    <w:p>
      <w:pPr>
        <w:spacing w:after="0" w:line="1" w:lineRule="exact"/>
        <w:rPr>
          <w:sz w:val="20"/>
          <w:szCs w:val="20"/>
          <w:color w:val="auto"/>
        </w:rPr>
      </w:pPr>
    </w:p>
    <w:p>
      <w:pPr>
        <w:ind w:left="1800" w:right="80" w:hanging="720"/>
        <w:spacing w:after="0" w:line="252" w:lineRule="auto"/>
        <w:tabs>
          <w:tab w:leader="none" w:pos="1780" w:val="left"/>
        </w:tabs>
        <w:rPr>
          <w:sz w:val="20"/>
          <w:szCs w:val="20"/>
          <w:color w:val="auto"/>
        </w:rPr>
      </w:pPr>
      <w:r>
        <w:rPr>
          <w:rFonts w:ascii="Arial" w:cs="Arial" w:eastAsia="Arial" w:hAnsi="Arial"/>
          <w:sz w:val="13"/>
          <w:szCs w:val="13"/>
          <w:color w:val="auto"/>
        </w:rPr>
        <w:t>10.36(c)</w:t>
      </w:r>
      <w:r>
        <w:rPr>
          <w:sz w:val="20"/>
          <w:szCs w:val="20"/>
          <w:color w:val="auto"/>
        </w:rPr>
        <w:tab/>
      </w:r>
      <w:r>
        <w:rPr>
          <w:rFonts w:ascii="Arial" w:cs="Arial" w:eastAsia="Arial" w:hAnsi="Arial"/>
          <w:sz w:val="13"/>
          <w:szCs w:val="13"/>
          <w:color w:val="auto"/>
        </w:rPr>
        <w:t>New Form of Restricted Stock Agreement for Non-Employee Directors under the Integra LifeSciences Holdings Corporation 2003 Equity Incentive Plan (Incorporated by reference to Exhibit 10.1 to the Company’s Current Report on Form 8-K filed on April 13, 2009)*</w:t>
      </w:r>
    </w:p>
    <w:p>
      <w:pPr>
        <w:spacing w:after="0" w:line="1" w:lineRule="exact"/>
        <w:rPr>
          <w:sz w:val="20"/>
          <w:szCs w:val="20"/>
          <w:color w:val="auto"/>
        </w:rPr>
      </w:pPr>
    </w:p>
    <w:p>
      <w:pPr>
        <w:ind w:left="1800" w:right="120" w:hanging="720"/>
        <w:spacing w:after="0" w:line="264" w:lineRule="auto"/>
        <w:tabs>
          <w:tab w:leader="none" w:pos="1780" w:val="left"/>
        </w:tabs>
        <w:rPr>
          <w:sz w:val="20"/>
          <w:szCs w:val="20"/>
          <w:color w:val="auto"/>
        </w:rPr>
      </w:pPr>
      <w:r>
        <w:rPr>
          <w:rFonts w:ascii="Arial" w:cs="Arial" w:eastAsia="Arial" w:hAnsi="Arial"/>
          <w:sz w:val="13"/>
          <w:szCs w:val="13"/>
          <w:color w:val="auto"/>
        </w:rPr>
        <w:t>10.37(a)</w:t>
      </w:r>
      <w:r>
        <w:rPr>
          <w:sz w:val="20"/>
          <w:szCs w:val="20"/>
          <w:color w:val="auto"/>
        </w:rPr>
        <w:tab/>
      </w:r>
      <w:r>
        <w:rPr>
          <w:rFonts w:ascii="Arial" w:cs="Arial" w:eastAsia="Arial" w:hAnsi="Arial"/>
          <w:sz w:val="13"/>
          <w:szCs w:val="13"/>
          <w:color w:val="auto"/>
        </w:rPr>
        <w:t>Form of Restricted Stock Agreement for Executive Officers — Cliff Vesting (Incorporated by reference to Exhibit 10.1 to the Company’s Current Report on Form 8-K filed on January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800" w:right="220" w:hanging="720"/>
        <w:spacing w:after="0" w:line="258" w:lineRule="auto"/>
        <w:tabs>
          <w:tab w:leader="none" w:pos="1780" w:val="left"/>
        </w:tabs>
        <w:rPr>
          <w:sz w:val="20"/>
          <w:szCs w:val="20"/>
          <w:color w:val="auto"/>
        </w:rPr>
      </w:pPr>
      <w:r>
        <w:rPr>
          <w:rFonts w:ascii="Arial" w:cs="Arial" w:eastAsia="Arial" w:hAnsi="Arial"/>
          <w:sz w:val="13"/>
          <w:szCs w:val="13"/>
          <w:color w:val="auto"/>
        </w:rPr>
        <w:t>10.37(b)</w:t>
      </w:r>
      <w:r>
        <w:rPr>
          <w:sz w:val="20"/>
          <w:szCs w:val="20"/>
          <w:color w:val="auto"/>
        </w:rPr>
        <w:tab/>
      </w:r>
      <w:r>
        <w:rPr>
          <w:rFonts w:ascii="Arial" w:cs="Arial" w:eastAsia="Arial" w:hAnsi="Arial"/>
          <w:sz w:val="13"/>
          <w:szCs w:val="13"/>
          <w:color w:val="auto"/>
        </w:rPr>
        <w:t>New Form of Restricted Stock Agreement for Executive Officers — Annual Vesting (Incorporated by reference to Exhibit 10.1 to the Company’s Current Report on Form 8-K filed on February 25, 2009)*</w:t>
      </w:r>
    </w:p>
    <w:p>
      <w:pPr>
        <w:spacing w:after="0" w:line="1" w:lineRule="exact"/>
        <w:rPr>
          <w:sz w:val="20"/>
          <w:szCs w:val="20"/>
          <w:color w:val="auto"/>
        </w:rPr>
      </w:pPr>
    </w:p>
    <w:p>
      <w:pPr>
        <w:ind w:left="1800" w:right="260" w:hanging="720"/>
        <w:spacing w:after="0" w:line="252" w:lineRule="auto"/>
        <w:tabs>
          <w:tab w:leader="none" w:pos="1780" w:val="left"/>
        </w:tabs>
        <w:rPr>
          <w:sz w:val="20"/>
          <w:szCs w:val="20"/>
          <w:color w:val="auto"/>
        </w:rPr>
      </w:pPr>
      <w:r>
        <w:rPr>
          <w:rFonts w:ascii="Arial" w:cs="Arial" w:eastAsia="Arial" w:hAnsi="Arial"/>
          <w:sz w:val="13"/>
          <w:szCs w:val="13"/>
          <w:color w:val="auto"/>
        </w:rPr>
        <w:t>10.37(c)</w:t>
      </w:r>
      <w:r>
        <w:rPr>
          <w:sz w:val="20"/>
          <w:szCs w:val="20"/>
          <w:color w:val="auto"/>
        </w:rPr>
        <w:tab/>
      </w:r>
      <w:r>
        <w:rPr>
          <w:rFonts w:ascii="Arial" w:cs="Arial" w:eastAsia="Arial" w:hAnsi="Arial"/>
          <w:sz w:val="13"/>
          <w:szCs w:val="13"/>
          <w:color w:val="auto"/>
        </w:rPr>
        <w:t>New Form of Restricted Stock Agreement with Cliff Vesting for Executive Officers (Incorporated by reference to Exhibit 10.8 to the Company’s Quarter Report on Form 10-Q for the quarter ended March 31, 2009)*</w:t>
      </w:r>
    </w:p>
    <w:p>
      <w:pPr>
        <w:spacing w:after="0" w:line="1" w:lineRule="exact"/>
        <w:rPr>
          <w:sz w:val="20"/>
          <w:szCs w:val="20"/>
          <w:color w:val="auto"/>
        </w:rPr>
      </w:pPr>
    </w:p>
    <w:p>
      <w:pPr>
        <w:ind w:left="1800" w:right="360" w:hanging="720"/>
        <w:spacing w:after="0" w:line="252" w:lineRule="auto"/>
        <w:tabs>
          <w:tab w:leader="none" w:pos="1780" w:val="left"/>
        </w:tabs>
        <w:rPr>
          <w:sz w:val="20"/>
          <w:szCs w:val="20"/>
          <w:color w:val="auto"/>
        </w:rPr>
      </w:pPr>
      <w:r>
        <w:rPr>
          <w:rFonts w:ascii="Arial" w:cs="Arial" w:eastAsia="Arial" w:hAnsi="Arial"/>
          <w:sz w:val="13"/>
          <w:szCs w:val="13"/>
          <w:color w:val="auto"/>
        </w:rPr>
        <w:t>10.37(d)</w:t>
      </w:r>
      <w:r>
        <w:rPr>
          <w:sz w:val="20"/>
          <w:szCs w:val="20"/>
          <w:color w:val="auto"/>
        </w:rPr>
        <w:tab/>
      </w:r>
      <w:r>
        <w:rPr>
          <w:rFonts w:ascii="Arial" w:cs="Arial" w:eastAsia="Arial" w:hAnsi="Arial"/>
          <w:sz w:val="13"/>
          <w:szCs w:val="13"/>
          <w:color w:val="auto"/>
        </w:rPr>
        <w:t>Form of Restricted Stock Agreement for Messrs. Carlozzi and Henneman for 2008 and 2009 (Incorporated by reference to Exhibit 10.6 to the Company’s Current Report on Form 8-K filed on April 13, 2009)*</w:t>
      </w:r>
    </w:p>
    <w:p>
      <w:pPr>
        <w:spacing w:after="0" w:line="1" w:lineRule="exact"/>
        <w:rPr>
          <w:sz w:val="20"/>
          <w:szCs w:val="20"/>
          <w:color w:val="auto"/>
        </w:rPr>
      </w:pPr>
    </w:p>
    <w:p>
      <w:pPr>
        <w:ind w:left="1800" w:right="40" w:hanging="720"/>
        <w:spacing w:after="0" w:line="252" w:lineRule="auto"/>
        <w:tabs>
          <w:tab w:leader="none" w:pos="1780" w:val="left"/>
        </w:tabs>
        <w:rPr>
          <w:sz w:val="20"/>
          <w:szCs w:val="20"/>
          <w:color w:val="auto"/>
        </w:rPr>
      </w:pPr>
      <w:r>
        <w:rPr>
          <w:rFonts w:ascii="Arial" w:cs="Arial" w:eastAsia="Arial" w:hAnsi="Arial"/>
          <w:sz w:val="13"/>
          <w:szCs w:val="13"/>
          <w:color w:val="auto"/>
        </w:rPr>
        <w:t>10.37(e)</w:t>
      </w:r>
      <w:r>
        <w:rPr>
          <w:sz w:val="20"/>
          <w:szCs w:val="20"/>
          <w:color w:val="auto"/>
        </w:rPr>
        <w:tab/>
      </w:r>
      <w:r>
        <w:rPr>
          <w:rFonts w:ascii="Arial" w:cs="Arial" w:eastAsia="Arial" w:hAnsi="Arial"/>
          <w:sz w:val="13"/>
          <w:szCs w:val="13"/>
          <w:color w:val="auto"/>
        </w:rPr>
        <w:t>Form of Contract Stock/Restricted Units Agreement (for Signing Grant) for Mr. Arduini (Incorporated by reference to Exhibit 10.4 to the Company’s Current Report on Form 8-K filed on October 12, 2010)*</w:t>
      </w:r>
    </w:p>
    <w:p>
      <w:pPr>
        <w:spacing w:after="0" w:line="1" w:lineRule="exact"/>
        <w:rPr>
          <w:sz w:val="20"/>
          <w:szCs w:val="20"/>
          <w:color w:val="auto"/>
        </w:rPr>
      </w:pPr>
    </w:p>
    <w:p>
      <w:pPr>
        <w:ind w:left="1800" w:right="120" w:hanging="720"/>
        <w:spacing w:after="0" w:line="252" w:lineRule="auto"/>
        <w:tabs>
          <w:tab w:leader="none" w:pos="1780" w:val="left"/>
        </w:tabs>
        <w:rPr>
          <w:sz w:val="20"/>
          <w:szCs w:val="20"/>
          <w:color w:val="auto"/>
        </w:rPr>
      </w:pPr>
      <w:r>
        <w:rPr>
          <w:rFonts w:ascii="Arial" w:cs="Arial" w:eastAsia="Arial" w:hAnsi="Arial"/>
          <w:sz w:val="13"/>
          <w:szCs w:val="13"/>
          <w:color w:val="auto"/>
        </w:rPr>
        <w:t>10.37(f)</w:t>
      </w:r>
      <w:r>
        <w:rPr>
          <w:sz w:val="20"/>
          <w:szCs w:val="20"/>
          <w:color w:val="auto"/>
        </w:rPr>
        <w:tab/>
      </w:r>
      <w:r>
        <w:rPr>
          <w:rFonts w:ascii="Arial" w:cs="Arial" w:eastAsia="Arial" w:hAnsi="Arial"/>
          <w:sz w:val="13"/>
          <w:szCs w:val="13"/>
          <w:color w:val="auto"/>
        </w:rPr>
        <w:t>Form of Contract Stock/Restricted Units Agreement (for Annual Equity Awards) for Mr. Arduini (Incorporated by reference to Exhibit 10.5 to the Company’s Current Report on Form 8-K filed on October 12, 2010)*</w:t>
      </w:r>
    </w:p>
    <w:p>
      <w:pPr>
        <w:spacing w:after="0" w:line="1" w:lineRule="exact"/>
        <w:rPr>
          <w:sz w:val="20"/>
          <w:szCs w:val="20"/>
          <w:color w:val="auto"/>
        </w:rPr>
      </w:pPr>
    </w:p>
    <w:p>
      <w:pPr>
        <w:ind w:left="1800" w:right="260" w:hanging="720"/>
        <w:spacing w:after="0" w:line="252" w:lineRule="auto"/>
        <w:tabs>
          <w:tab w:leader="none" w:pos="1780" w:val="left"/>
        </w:tabs>
        <w:rPr>
          <w:sz w:val="20"/>
          <w:szCs w:val="20"/>
          <w:color w:val="auto"/>
        </w:rPr>
      </w:pPr>
      <w:r>
        <w:rPr>
          <w:rFonts w:ascii="Arial" w:cs="Arial" w:eastAsia="Arial" w:hAnsi="Arial"/>
          <w:sz w:val="13"/>
          <w:szCs w:val="13"/>
          <w:color w:val="auto"/>
        </w:rPr>
        <w:t>10.37(g)</w:t>
      </w:r>
      <w:r>
        <w:rPr>
          <w:sz w:val="20"/>
          <w:szCs w:val="20"/>
          <w:color w:val="auto"/>
        </w:rPr>
        <w:tab/>
      </w:r>
      <w:r>
        <w:rPr>
          <w:rFonts w:ascii="Arial" w:cs="Arial" w:eastAsia="Arial" w:hAnsi="Arial"/>
          <w:sz w:val="13"/>
          <w:szCs w:val="13"/>
          <w:color w:val="auto"/>
        </w:rPr>
        <w:t>Form of Non-Qualified Stock Option Agreement for Mr. Arduini (Incorporated by reference to Exhibit 10.6 to the Company’s Current Report on Form 8-K filed on October 12, 2010)*</w:t>
      </w:r>
    </w:p>
    <w:p>
      <w:pPr>
        <w:spacing w:after="0" w:line="1" w:lineRule="exact"/>
        <w:rPr>
          <w:sz w:val="20"/>
          <w:szCs w:val="20"/>
          <w:color w:val="auto"/>
        </w:rPr>
      </w:pPr>
    </w:p>
    <w:p>
      <w:pPr>
        <w:ind w:left="1080"/>
        <w:spacing w:after="0"/>
        <w:tabs>
          <w:tab w:leader="none" w:pos="1780" w:val="left"/>
        </w:tabs>
        <w:rPr>
          <w:sz w:val="20"/>
          <w:szCs w:val="20"/>
          <w:color w:val="auto"/>
        </w:rPr>
      </w:pPr>
      <w:r>
        <w:rPr>
          <w:rFonts w:ascii="Arial" w:cs="Arial" w:eastAsia="Arial" w:hAnsi="Arial"/>
          <w:sz w:val="13"/>
          <w:szCs w:val="13"/>
          <w:color w:val="auto"/>
        </w:rPr>
        <w:t>10.37(h)</w:t>
      </w:r>
      <w:r>
        <w:rPr>
          <w:sz w:val="20"/>
          <w:szCs w:val="20"/>
          <w:color w:val="auto"/>
        </w:rPr>
        <w:tab/>
      </w:r>
      <w:r>
        <w:rPr>
          <w:rFonts w:ascii="Arial" w:cs="Arial" w:eastAsia="Arial" w:hAnsi="Arial"/>
          <w:sz w:val="12"/>
          <w:szCs w:val="12"/>
          <w:color w:val="auto"/>
        </w:rPr>
        <w:t>Form of Restricted Stock Agreement for Mr. Henneman (Incorporated by reference to Exhibit 10.7 to the Company’s Current Report on Form 8-K filed on October 12,</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2010)*</w:t>
      </w:r>
    </w:p>
    <w:p>
      <w:pPr>
        <w:spacing w:after="0" w:line="8" w:lineRule="exact"/>
        <w:rPr>
          <w:sz w:val="20"/>
          <w:szCs w:val="20"/>
          <w:color w:val="auto"/>
        </w:rPr>
      </w:pPr>
    </w:p>
    <w:p>
      <w:pPr>
        <w:ind w:left="1800" w:right="600" w:hanging="720"/>
        <w:spacing w:after="0" w:line="252" w:lineRule="auto"/>
        <w:tabs>
          <w:tab w:leader="none" w:pos="178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Asset Purchase Agreement, dated as of September 7, 2005, by and between Tyco Healthcare Group LP and Sherwood Services, AG and Integra LifeSciences Corporation and Integra LifeSciences (Ireland) Limited (Incorporated by reference to Exhibit 10.1 to the Company’s Current Report on Form 8-K filed on September 13, 2005)</w:t>
      </w:r>
    </w:p>
    <w:p>
      <w:pPr>
        <w:spacing w:after="0" w:line="1" w:lineRule="exact"/>
        <w:rPr>
          <w:sz w:val="20"/>
          <w:szCs w:val="20"/>
          <w:color w:val="auto"/>
        </w:rPr>
      </w:pPr>
    </w:p>
    <w:p>
      <w:pPr>
        <w:ind w:left="1800" w:right="360" w:hanging="720"/>
        <w:spacing w:after="0" w:line="252" w:lineRule="auto"/>
        <w:tabs>
          <w:tab w:leader="none" w:pos="178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3"/>
          <w:szCs w:val="13"/>
          <w:color w:val="auto"/>
        </w:rPr>
        <w:t>Performance Stock Agreement by and between John B. Henneman, III and the Company dated January 3, 2006 (Incorporated by reference to Exhibit 10.42 to the Company’s Annual Report on Form 10-K for the year ended December 31, 2005)*</w:t>
      </w:r>
    </w:p>
    <w:p>
      <w:pPr>
        <w:spacing w:after="0" w:line="1" w:lineRule="exact"/>
        <w:rPr>
          <w:sz w:val="20"/>
          <w:szCs w:val="20"/>
          <w:color w:val="auto"/>
        </w:rPr>
      </w:pPr>
    </w:p>
    <w:p>
      <w:pPr>
        <w:ind w:left="1800" w:right="580" w:hanging="720"/>
        <w:spacing w:after="0" w:line="252" w:lineRule="auto"/>
        <w:tabs>
          <w:tab w:leader="none" w:pos="1780" w:val="left"/>
        </w:tabs>
        <w:rPr>
          <w:sz w:val="20"/>
          <w:szCs w:val="20"/>
          <w:color w:val="auto"/>
        </w:rPr>
      </w:pPr>
      <w:r>
        <w:rPr>
          <w:rFonts w:ascii="Arial" w:cs="Arial" w:eastAsia="Arial" w:hAnsi="Arial"/>
          <w:sz w:val="13"/>
          <w:szCs w:val="13"/>
          <w:color w:val="auto"/>
        </w:rPr>
        <w:t>10.40</w:t>
      </w:r>
      <w:r>
        <w:rPr>
          <w:sz w:val="20"/>
          <w:szCs w:val="20"/>
          <w:color w:val="auto"/>
        </w:rPr>
        <w:tab/>
      </w:r>
      <w:r>
        <w:rPr>
          <w:rFonts w:ascii="Arial" w:cs="Arial" w:eastAsia="Arial" w:hAnsi="Arial"/>
          <w:sz w:val="13"/>
          <w:szCs w:val="13"/>
          <w:color w:val="auto"/>
        </w:rPr>
        <w:t>Performance Stock Agreement by and between Gerard S. Carlozzi and the Company dated January 3, 2006 (Incorporated by reference to Exhibit 10.43 to the Company’s Annual Report on Form 10-K for the year ended December 31, 2005)*</w:t>
      </w:r>
    </w:p>
    <w:p>
      <w:pPr>
        <w:spacing w:after="0" w:line="1" w:lineRule="exact"/>
        <w:rPr>
          <w:sz w:val="20"/>
          <w:szCs w:val="20"/>
          <w:color w:val="auto"/>
        </w:rPr>
      </w:pPr>
    </w:p>
    <w:p>
      <w:pPr>
        <w:ind w:left="1800" w:right="100" w:hanging="720"/>
        <w:spacing w:after="0" w:line="252" w:lineRule="auto"/>
        <w:tabs>
          <w:tab w:leader="none" w:pos="1780" w:val="left"/>
        </w:tabs>
        <w:rPr>
          <w:sz w:val="20"/>
          <w:szCs w:val="20"/>
          <w:color w:val="auto"/>
        </w:rPr>
      </w:pPr>
      <w:r>
        <w:rPr>
          <w:rFonts w:ascii="Arial" w:cs="Arial" w:eastAsia="Arial" w:hAnsi="Arial"/>
          <w:sz w:val="13"/>
          <w:szCs w:val="13"/>
          <w:color w:val="auto"/>
        </w:rPr>
        <w:t>10.41(a)</w:t>
      </w:r>
      <w:r>
        <w:rPr>
          <w:sz w:val="20"/>
          <w:szCs w:val="20"/>
          <w:color w:val="auto"/>
        </w:rPr>
        <w:tab/>
      </w:r>
      <w:r>
        <w:rPr>
          <w:rFonts w:ascii="Arial" w:cs="Arial" w:eastAsia="Arial" w:hAnsi="Arial"/>
          <w:sz w:val="13"/>
          <w:szCs w:val="13"/>
          <w:color w:val="auto"/>
        </w:rPr>
        <w:t>Form of Performance Stock Agreement for Gerard S. Carlozzi and John B. Henneman, III (Incorporated by reference to Exhibit 10.1 to the Company’s Current Report on Form 8-K filed on March 21, 2007)*</w:t>
      </w:r>
    </w:p>
    <w:p>
      <w:pPr>
        <w:spacing w:after="0" w:line="1" w:lineRule="exact"/>
        <w:rPr>
          <w:sz w:val="20"/>
          <w:szCs w:val="20"/>
          <w:color w:val="auto"/>
        </w:rPr>
      </w:pPr>
    </w:p>
    <w:p>
      <w:pPr>
        <w:ind w:left="1800" w:right="280" w:hanging="720"/>
        <w:spacing w:after="0" w:line="252" w:lineRule="auto"/>
        <w:tabs>
          <w:tab w:leader="none" w:pos="1780" w:val="left"/>
        </w:tabs>
        <w:rPr>
          <w:sz w:val="20"/>
          <w:szCs w:val="20"/>
          <w:color w:val="auto"/>
        </w:rPr>
      </w:pPr>
      <w:r>
        <w:rPr>
          <w:rFonts w:ascii="Arial" w:cs="Arial" w:eastAsia="Arial" w:hAnsi="Arial"/>
          <w:sz w:val="13"/>
          <w:szCs w:val="13"/>
          <w:color w:val="auto"/>
        </w:rPr>
        <w:t>10.41(b)</w:t>
      </w:r>
      <w:r>
        <w:rPr>
          <w:sz w:val="20"/>
          <w:szCs w:val="20"/>
          <w:color w:val="auto"/>
        </w:rPr>
        <w:tab/>
      </w:r>
      <w:r>
        <w:rPr>
          <w:rFonts w:ascii="Arial" w:cs="Arial" w:eastAsia="Arial" w:hAnsi="Arial"/>
          <w:sz w:val="13"/>
          <w:szCs w:val="13"/>
          <w:color w:val="auto"/>
        </w:rPr>
        <w:t>Form of Performance Stock Agreement for Gerard S. Carlozzi and John B. Henneman, III (Incorporated by reference to Exhibit 10.37(b) to the Company’s Annual Report on Form 10-K for the year ended December 31, 2007)*</w:t>
      </w:r>
    </w:p>
    <w:p>
      <w:pPr>
        <w:spacing w:after="0" w:line="1" w:lineRule="exact"/>
        <w:rPr>
          <w:sz w:val="20"/>
          <w:szCs w:val="20"/>
          <w:color w:val="auto"/>
        </w:rPr>
      </w:pPr>
    </w:p>
    <w:p>
      <w:pPr>
        <w:ind w:left="1800" w:right="600" w:hanging="720"/>
        <w:spacing w:after="0" w:line="252" w:lineRule="auto"/>
        <w:tabs>
          <w:tab w:leader="none" w:pos="178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Stock Purchase Agreement, dated as of April 19, 2006, by and between ASP/Miltex LLC and Integra LifeSciences Corporation (Incorporated by reference to Exhibit 10.1 to the Company’s Current Report on Form 8-K filed on April 25, 2006)</w:t>
      </w:r>
    </w:p>
    <w:p>
      <w:pPr>
        <w:spacing w:after="0" w:line="1" w:lineRule="exact"/>
        <w:rPr>
          <w:sz w:val="20"/>
          <w:szCs w:val="20"/>
          <w:color w:val="auto"/>
        </w:rPr>
      </w:pPr>
    </w:p>
    <w:p>
      <w:pPr>
        <w:ind w:left="1800" w:right="220" w:hanging="720"/>
        <w:spacing w:after="0" w:line="252" w:lineRule="auto"/>
        <w:tabs>
          <w:tab w:leader="none" w:pos="1780" w:val="left"/>
        </w:tabs>
        <w:rPr>
          <w:sz w:val="20"/>
          <w:szCs w:val="20"/>
          <w:color w:val="auto"/>
        </w:rPr>
      </w:pPr>
      <w:r>
        <w:rPr>
          <w:rFonts w:ascii="Arial" w:cs="Arial" w:eastAsia="Arial" w:hAnsi="Arial"/>
          <w:sz w:val="13"/>
          <w:szCs w:val="13"/>
          <w:color w:val="auto"/>
        </w:rPr>
        <w:t>10.43</w:t>
      </w:r>
      <w:r>
        <w:rPr>
          <w:sz w:val="20"/>
          <w:szCs w:val="20"/>
          <w:color w:val="auto"/>
        </w:rPr>
        <w:tab/>
      </w:r>
      <w:r>
        <w:rPr>
          <w:rFonts w:ascii="Arial" w:cs="Arial" w:eastAsia="Arial" w:hAnsi="Arial"/>
          <w:sz w:val="13"/>
          <w:szCs w:val="13"/>
          <w:color w:val="auto"/>
        </w:rPr>
        <w:t>Stock Agreement and Plan of Merger, dated as of June 30, 2006, by and between Integra LifeSciences Corporation, Integra California, Inc., Kinetikos Medical, Inc., Telegraph Hill Partners Management LLC, as Shareholders Representative, and the Shareholders party thereto (Incorporated by reference to Exhibit 10.1 to the Company’s Current Report on Form 8-K filed on July 7, 2006)</w:t>
      </w:r>
    </w:p>
    <w:p>
      <w:pPr>
        <w:spacing w:after="0" w:line="1" w:lineRule="exact"/>
        <w:rPr>
          <w:sz w:val="20"/>
          <w:szCs w:val="20"/>
          <w:color w:val="auto"/>
        </w:rPr>
      </w:pPr>
    </w:p>
    <w:p>
      <w:pPr>
        <w:ind w:left="1800" w:hanging="720"/>
        <w:spacing w:after="0" w:line="252" w:lineRule="auto"/>
        <w:tabs>
          <w:tab w:leader="none" w:pos="1780" w:val="left"/>
        </w:tabs>
        <w:rPr>
          <w:sz w:val="20"/>
          <w:szCs w:val="20"/>
          <w:color w:val="auto"/>
        </w:rPr>
      </w:pPr>
      <w:r>
        <w:rPr>
          <w:rFonts w:ascii="Arial" w:cs="Arial" w:eastAsia="Arial" w:hAnsi="Arial"/>
          <w:sz w:val="13"/>
          <w:szCs w:val="13"/>
          <w:color w:val="auto"/>
        </w:rPr>
        <w:t>10.44(a)</w:t>
      </w:r>
      <w:r>
        <w:rPr>
          <w:sz w:val="20"/>
          <w:szCs w:val="20"/>
          <w:color w:val="auto"/>
        </w:rPr>
        <w:tab/>
      </w:r>
      <w:r>
        <w:rPr>
          <w:rFonts w:ascii="Arial" w:cs="Arial" w:eastAsia="Arial" w:hAnsi="Arial"/>
          <w:sz w:val="13"/>
          <w:szCs w:val="13"/>
          <w:color w:val="auto"/>
        </w:rPr>
        <w:t>Integra LifeSciences Holdings Corporation Management Incentive Compensation Plan (Incorporated by reference to Exhibit 10.1 to the Company’s Quarterly Report on Form 10-Q for the quarter ended September 30, 2006)*</w:t>
      </w:r>
    </w:p>
    <w:p>
      <w:pPr>
        <w:spacing w:after="0" w:line="1" w:lineRule="exact"/>
        <w:rPr>
          <w:sz w:val="20"/>
          <w:szCs w:val="20"/>
          <w:color w:val="auto"/>
        </w:rPr>
      </w:pPr>
    </w:p>
    <w:p>
      <w:pPr>
        <w:ind w:left="1800" w:hanging="720"/>
        <w:spacing w:after="0" w:line="252" w:lineRule="auto"/>
        <w:tabs>
          <w:tab w:leader="none" w:pos="1780" w:val="left"/>
        </w:tabs>
        <w:rPr>
          <w:sz w:val="20"/>
          <w:szCs w:val="20"/>
          <w:color w:val="auto"/>
        </w:rPr>
      </w:pPr>
      <w:r>
        <w:rPr>
          <w:rFonts w:ascii="Arial" w:cs="Arial" w:eastAsia="Arial" w:hAnsi="Arial"/>
          <w:sz w:val="13"/>
          <w:szCs w:val="13"/>
          <w:color w:val="auto"/>
        </w:rPr>
        <w:t>10.44(b)</w:t>
      </w:r>
      <w:r>
        <w:rPr>
          <w:sz w:val="20"/>
          <w:szCs w:val="20"/>
          <w:color w:val="auto"/>
        </w:rPr>
        <w:tab/>
      </w:r>
      <w:r>
        <w:rPr>
          <w:rFonts w:ascii="Arial" w:cs="Arial" w:eastAsia="Arial" w:hAnsi="Arial"/>
          <w:sz w:val="13"/>
          <w:szCs w:val="13"/>
          <w:color w:val="auto"/>
        </w:rPr>
        <w:t>First Amendment to Integra LifeSciences Holdings Corporation Management Incentive Compensation Plan (Incorporated by reference to Exhibit 10.5 to the Company’s Quarterly Report on Form 10-Q for the quarter ended March 31, 2007)*</w:t>
      </w:r>
    </w:p>
    <w:p>
      <w:pPr>
        <w:spacing w:after="0" w:line="1" w:lineRule="exact"/>
        <w:rPr>
          <w:sz w:val="20"/>
          <w:szCs w:val="20"/>
          <w:color w:val="auto"/>
        </w:rPr>
      </w:pPr>
    </w:p>
    <w:p>
      <w:pPr>
        <w:ind w:left="1800" w:right="240" w:hanging="720"/>
        <w:spacing w:after="0" w:line="252" w:lineRule="auto"/>
        <w:tabs>
          <w:tab w:leader="none" w:pos="1780" w:val="left"/>
        </w:tabs>
        <w:rPr>
          <w:sz w:val="20"/>
          <w:szCs w:val="20"/>
          <w:color w:val="auto"/>
        </w:rPr>
      </w:pPr>
      <w:r>
        <w:rPr>
          <w:rFonts w:ascii="Arial" w:cs="Arial" w:eastAsia="Arial" w:hAnsi="Arial"/>
          <w:sz w:val="13"/>
          <w:szCs w:val="13"/>
          <w:color w:val="auto"/>
        </w:rPr>
        <w:t>10.44(c)</w:t>
      </w:r>
      <w:r>
        <w:rPr>
          <w:sz w:val="20"/>
          <w:szCs w:val="20"/>
          <w:color w:val="auto"/>
        </w:rPr>
        <w:tab/>
      </w:r>
      <w:r>
        <w:rPr>
          <w:rFonts w:ascii="Arial" w:cs="Arial" w:eastAsia="Arial" w:hAnsi="Arial"/>
          <w:sz w:val="13"/>
          <w:szCs w:val="13"/>
          <w:color w:val="auto"/>
        </w:rPr>
        <w:t>Integra LifeSciences Holdings Corporation Management Incentive Compensation Plan, as amended and restated as of January 1, 2008 (Incorporated by reference to Exhibit 10.43(c) to the Company’s Annual Report on Form 10-K for the year ended December 31, 2007)*</w:t>
      </w:r>
    </w:p>
    <w:p>
      <w:pPr>
        <w:spacing w:after="0" w:line="1" w:lineRule="exact"/>
        <w:rPr>
          <w:sz w:val="20"/>
          <w:szCs w:val="20"/>
          <w:color w:val="auto"/>
        </w:rPr>
      </w:pPr>
    </w:p>
    <w:p>
      <w:pPr>
        <w:ind w:left="1800" w:right="60" w:hanging="720"/>
        <w:spacing w:after="0" w:line="264" w:lineRule="auto"/>
        <w:tabs>
          <w:tab w:leader="none" w:pos="178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3"/>
          <w:szCs w:val="13"/>
          <w:color w:val="auto"/>
        </w:rPr>
        <w:t>Form of Restricted Stock Agreement for Gerard S. Carlozzi and John B. Henneman, III (Incorporated by reference to Exhibit 10.1 to the Company’s Current Report on Form 8-K filed on February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10.46</w:t>
            </w:r>
          </w:p>
        </w:tc>
        <w:tc>
          <w:tcPr>
            <w:tcW w:w="9740" w:type="dxa"/>
            <w:vAlign w:val="bottom"/>
          </w:tcPr>
          <w:p>
            <w:pPr>
              <w:ind w:left="140"/>
              <w:spacing w:after="0"/>
              <w:rPr>
                <w:sz w:val="20"/>
                <w:szCs w:val="20"/>
                <w:color w:val="auto"/>
              </w:rPr>
            </w:pPr>
            <w:r>
              <w:rPr>
                <w:rFonts w:ascii="Arial" w:cs="Arial" w:eastAsia="Arial" w:hAnsi="Arial"/>
                <w:sz w:val="13"/>
                <w:szCs w:val="13"/>
                <w:color w:val="auto"/>
              </w:rPr>
              <w:t>Form of 2010 Convertible Bond Hedge Transaction Confirmation, dated June 6, 2007, between Integra LifeSciences Holdings Corporation and dealer (Incorporated by</w:t>
            </w:r>
          </w:p>
        </w:tc>
      </w:tr>
      <w:tr>
        <w:trPr>
          <w:trHeight w:val="165"/>
        </w:trPr>
        <w:tc>
          <w:tcPr>
            <w:tcW w:w="1720" w:type="dxa"/>
            <w:vAlign w:val="bottom"/>
          </w:tcPr>
          <w:p>
            <w:pPr>
              <w:spacing w:after="0"/>
              <w:rPr>
                <w:sz w:val="14"/>
                <w:szCs w:val="14"/>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reference to Exhibit 10.1 to the Company’s Current Report on Form 8-K filed on June 12, 2007)</w:t>
            </w:r>
          </w:p>
        </w:tc>
      </w:tr>
      <w:tr>
        <w:trPr>
          <w:trHeight w:val="307"/>
        </w:trPr>
        <w:tc>
          <w:tcPr>
            <w:tcW w:w="1720" w:type="dxa"/>
            <w:vAlign w:val="bottom"/>
          </w:tcPr>
          <w:p>
            <w:pPr>
              <w:ind w:left="1140"/>
              <w:spacing w:after="0"/>
              <w:rPr>
                <w:sz w:val="20"/>
                <w:szCs w:val="20"/>
                <w:color w:val="auto"/>
              </w:rPr>
            </w:pPr>
            <w:r>
              <w:rPr>
                <w:rFonts w:ascii="Arial" w:cs="Arial" w:eastAsia="Arial" w:hAnsi="Arial"/>
                <w:sz w:val="13"/>
                <w:szCs w:val="13"/>
                <w:color w:val="auto"/>
              </w:rPr>
              <w:t>10.47</w:t>
            </w:r>
          </w:p>
        </w:tc>
        <w:tc>
          <w:tcPr>
            <w:tcW w:w="9740" w:type="dxa"/>
            <w:vAlign w:val="bottom"/>
          </w:tcPr>
          <w:p>
            <w:pPr>
              <w:ind w:left="140"/>
              <w:spacing w:after="0"/>
              <w:rPr>
                <w:sz w:val="20"/>
                <w:szCs w:val="20"/>
                <w:color w:val="auto"/>
              </w:rPr>
            </w:pPr>
            <w:r>
              <w:rPr>
                <w:rFonts w:ascii="Arial" w:cs="Arial" w:eastAsia="Arial" w:hAnsi="Arial"/>
                <w:sz w:val="13"/>
                <w:szCs w:val="13"/>
                <w:color w:val="auto"/>
              </w:rPr>
              <w:t>Form of 2012 Convertible Bond Hedge Transaction Confirmation, dated June 6, 2007, between Integra LifeSciences Holdings Corporation and dealer (Incorporated by</w:t>
            </w:r>
          </w:p>
        </w:tc>
      </w:tr>
      <w:tr>
        <w:trPr>
          <w:trHeight w:val="157"/>
        </w:trPr>
        <w:tc>
          <w:tcPr>
            <w:tcW w:w="1720" w:type="dxa"/>
            <w:vAlign w:val="bottom"/>
          </w:tcPr>
          <w:p>
            <w:pPr>
              <w:spacing w:after="0"/>
              <w:rPr>
                <w:sz w:val="13"/>
                <w:szCs w:val="13"/>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reference to Exhibit 10.2 to the Company’s Current Report on Form 8-K filed on June 12, 2007)</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10.48</w:t>
            </w:r>
          </w:p>
        </w:tc>
        <w:tc>
          <w:tcPr>
            <w:tcW w:w="9740" w:type="dxa"/>
            <w:vAlign w:val="bottom"/>
          </w:tcPr>
          <w:p>
            <w:pPr>
              <w:ind w:left="140"/>
              <w:spacing w:after="0"/>
              <w:rPr>
                <w:sz w:val="20"/>
                <w:szCs w:val="20"/>
                <w:color w:val="auto"/>
              </w:rPr>
            </w:pPr>
            <w:r>
              <w:rPr>
                <w:rFonts w:ascii="Arial" w:cs="Arial" w:eastAsia="Arial" w:hAnsi="Arial"/>
                <w:sz w:val="13"/>
                <w:szCs w:val="13"/>
                <w:color w:val="auto"/>
              </w:rPr>
              <w:t>Form of 2010 Amended and Restated Issuer Warrant Transaction Confirmation, dated June 6, 2007, between Integra LifeSciences Holdings Corporation and dealer</w:t>
            </w:r>
          </w:p>
        </w:tc>
      </w:tr>
      <w:tr>
        <w:trPr>
          <w:trHeight w:val="157"/>
        </w:trPr>
        <w:tc>
          <w:tcPr>
            <w:tcW w:w="1720" w:type="dxa"/>
            <w:vAlign w:val="bottom"/>
          </w:tcPr>
          <w:p>
            <w:pPr>
              <w:spacing w:after="0"/>
              <w:rPr>
                <w:sz w:val="13"/>
                <w:szCs w:val="13"/>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(Incorporated by reference to Exhibit 10.3 to the Company’s Current Report on Form 8-K filed on June 12, 2007)</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10.49</w:t>
            </w:r>
          </w:p>
        </w:tc>
        <w:tc>
          <w:tcPr>
            <w:tcW w:w="9740" w:type="dxa"/>
            <w:vAlign w:val="bottom"/>
          </w:tcPr>
          <w:p>
            <w:pPr>
              <w:ind w:left="140"/>
              <w:spacing w:after="0"/>
              <w:rPr>
                <w:sz w:val="20"/>
                <w:szCs w:val="20"/>
                <w:color w:val="auto"/>
              </w:rPr>
            </w:pPr>
            <w:r>
              <w:rPr>
                <w:rFonts w:ascii="Arial" w:cs="Arial" w:eastAsia="Arial" w:hAnsi="Arial"/>
                <w:sz w:val="13"/>
                <w:szCs w:val="13"/>
                <w:color w:val="auto"/>
              </w:rPr>
              <w:t>Form of 2012 Amended and Restated Issuer Warrant Transaction Confirmation, dated June 6, 2007, between Integra LifeSciences Holdings Corporation and dealer</w:t>
            </w:r>
          </w:p>
        </w:tc>
      </w:tr>
      <w:tr>
        <w:trPr>
          <w:trHeight w:val="157"/>
        </w:trPr>
        <w:tc>
          <w:tcPr>
            <w:tcW w:w="1720" w:type="dxa"/>
            <w:vAlign w:val="bottom"/>
          </w:tcPr>
          <w:p>
            <w:pPr>
              <w:spacing w:after="0"/>
              <w:rPr>
                <w:sz w:val="13"/>
                <w:szCs w:val="13"/>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(Incorporated by reference to Exhibit 10.4 to the Company’s Current Report on Form 8-K filed on June 12, 2007)</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10.50</w:t>
            </w:r>
          </w:p>
        </w:tc>
        <w:tc>
          <w:tcPr>
            <w:tcW w:w="9740" w:type="dxa"/>
            <w:vAlign w:val="bottom"/>
          </w:tcPr>
          <w:p>
            <w:pPr>
              <w:ind w:left="140"/>
              <w:spacing w:after="0"/>
              <w:rPr>
                <w:sz w:val="20"/>
                <w:szCs w:val="20"/>
                <w:color w:val="auto"/>
              </w:rPr>
            </w:pPr>
            <w:r>
              <w:rPr>
                <w:rFonts w:ascii="Arial" w:cs="Arial" w:eastAsia="Arial" w:hAnsi="Arial"/>
                <w:sz w:val="13"/>
                <w:szCs w:val="13"/>
                <w:color w:val="auto"/>
              </w:rPr>
              <w:t>Form of Option Agreement among Integra LifeSciences Holdings Corporation and John B. Henneman, III (Incorporated by reference to Exhibit 10.1 to the Company’s</w:t>
            </w:r>
          </w:p>
        </w:tc>
      </w:tr>
      <w:tr>
        <w:trPr>
          <w:trHeight w:val="157"/>
        </w:trPr>
        <w:tc>
          <w:tcPr>
            <w:tcW w:w="1720" w:type="dxa"/>
            <w:vAlign w:val="bottom"/>
          </w:tcPr>
          <w:p>
            <w:pPr>
              <w:spacing w:after="0"/>
              <w:rPr>
                <w:sz w:val="13"/>
                <w:szCs w:val="13"/>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Current Report on Form 8-K filed on June 6, 2008)*</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10.51</w:t>
            </w:r>
          </w:p>
        </w:tc>
        <w:tc>
          <w:tcPr>
            <w:tcW w:w="9740" w:type="dxa"/>
            <w:vAlign w:val="bottom"/>
          </w:tcPr>
          <w:p>
            <w:pPr>
              <w:ind w:left="140"/>
              <w:spacing w:after="0"/>
              <w:rPr>
                <w:sz w:val="20"/>
                <w:szCs w:val="20"/>
                <w:color w:val="auto"/>
              </w:rPr>
            </w:pPr>
            <w:r>
              <w:rPr>
                <w:rFonts w:ascii="Arial" w:cs="Arial" w:eastAsia="Arial" w:hAnsi="Arial"/>
                <w:sz w:val="13"/>
                <w:szCs w:val="13"/>
                <w:color w:val="auto"/>
              </w:rPr>
              <w:t>Unit Purchase Agreement, dated as of July 23, 2008, by and among Integra LifeSciences Holdings Corporation, Theken Spine LLC, Randall R. Theken and the other</w:t>
            </w:r>
          </w:p>
        </w:tc>
      </w:tr>
      <w:tr>
        <w:trPr>
          <w:trHeight w:val="157"/>
        </w:trPr>
        <w:tc>
          <w:tcPr>
            <w:tcW w:w="1720" w:type="dxa"/>
            <w:vAlign w:val="bottom"/>
          </w:tcPr>
          <w:p>
            <w:pPr>
              <w:spacing w:after="0"/>
              <w:rPr>
                <w:sz w:val="13"/>
                <w:szCs w:val="13"/>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members of Theken Spine, LLC party thereto (Incorporated by reference to Exhibit 10.1 to the Company’s Current Report on Form 8-K filed on July 24, 2008)</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10.52</w:t>
            </w:r>
          </w:p>
        </w:tc>
        <w:tc>
          <w:tcPr>
            <w:tcW w:w="9740" w:type="dxa"/>
            <w:vAlign w:val="bottom"/>
          </w:tcPr>
          <w:p>
            <w:pPr>
              <w:ind w:left="140"/>
              <w:spacing w:after="0"/>
              <w:rPr>
                <w:sz w:val="20"/>
                <w:szCs w:val="20"/>
                <w:color w:val="auto"/>
              </w:rPr>
            </w:pPr>
            <w:r>
              <w:rPr>
                <w:rFonts w:ascii="Arial" w:cs="Arial" w:eastAsia="Arial" w:hAnsi="Arial"/>
                <w:sz w:val="13"/>
                <w:szCs w:val="13"/>
                <w:color w:val="auto"/>
              </w:rPr>
              <w:t>Form of Indemnification Agreement for Non-Employee Directors and Officers (Incorporated by reference to Exhibit 10.1 to the Company’s Current Report on</w:t>
            </w:r>
          </w:p>
        </w:tc>
      </w:tr>
      <w:tr>
        <w:trPr>
          <w:trHeight w:val="157"/>
        </w:trPr>
        <w:tc>
          <w:tcPr>
            <w:tcW w:w="1720" w:type="dxa"/>
            <w:vAlign w:val="bottom"/>
          </w:tcPr>
          <w:p>
            <w:pPr>
              <w:spacing w:after="0"/>
              <w:rPr>
                <w:sz w:val="13"/>
                <w:szCs w:val="13"/>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Form 8-K filed on December 24, 2008)*</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10.53</w:t>
            </w:r>
          </w:p>
        </w:tc>
        <w:tc>
          <w:tcPr>
            <w:tcW w:w="9740" w:type="dxa"/>
            <w:vAlign w:val="bottom"/>
          </w:tcPr>
          <w:p>
            <w:pPr>
              <w:ind w:left="140"/>
              <w:spacing w:after="0"/>
              <w:rPr>
                <w:sz w:val="20"/>
                <w:szCs w:val="20"/>
                <w:color w:val="auto"/>
              </w:rPr>
            </w:pPr>
            <w:r>
              <w:rPr>
                <w:rFonts w:ascii="Arial" w:cs="Arial" w:eastAsia="Arial" w:hAnsi="Arial"/>
                <w:sz w:val="13"/>
                <w:szCs w:val="13"/>
                <w:color w:val="auto"/>
              </w:rPr>
              <w:t>Form of Contract Stock/Restricted Units Agreement for Mr. Carlozzi and Mr. Henneman (Incorporated by reference to Exhibit 10.4 to the Company’s Current Report</w:t>
            </w:r>
          </w:p>
        </w:tc>
      </w:tr>
      <w:tr>
        <w:trPr>
          <w:trHeight w:val="157"/>
        </w:trPr>
        <w:tc>
          <w:tcPr>
            <w:tcW w:w="1720" w:type="dxa"/>
            <w:vAlign w:val="bottom"/>
          </w:tcPr>
          <w:p>
            <w:pPr>
              <w:spacing w:after="0"/>
              <w:rPr>
                <w:sz w:val="13"/>
                <w:szCs w:val="13"/>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on Form 8-K filed on December 24, 2008)*</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10.54</w:t>
            </w:r>
          </w:p>
        </w:tc>
        <w:tc>
          <w:tcPr>
            <w:tcW w:w="9740" w:type="dxa"/>
            <w:vAlign w:val="bottom"/>
          </w:tcPr>
          <w:p>
            <w:pPr>
              <w:ind w:left="140"/>
              <w:spacing w:after="0"/>
              <w:rPr>
                <w:sz w:val="20"/>
                <w:szCs w:val="20"/>
                <w:color w:val="auto"/>
              </w:rPr>
            </w:pPr>
            <w:r>
              <w:rPr>
                <w:rFonts w:ascii="Arial" w:cs="Arial" w:eastAsia="Arial" w:hAnsi="Arial"/>
                <w:sz w:val="13"/>
                <w:szCs w:val="13"/>
                <w:color w:val="auto"/>
              </w:rPr>
              <w:t>Piggyback Registration Rights Agreement dated December 22, 2008 between Integra LifeSciences Holdings Corporation and George Heenan, Thomas Gilliam and</w:t>
            </w:r>
          </w:p>
        </w:tc>
      </w:tr>
      <w:tr>
        <w:trPr>
          <w:trHeight w:val="157"/>
        </w:trPr>
        <w:tc>
          <w:tcPr>
            <w:tcW w:w="1720" w:type="dxa"/>
            <w:vAlign w:val="bottom"/>
          </w:tcPr>
          <w:p>
            <w:pPr>
              <w:spacing w:after="0"/>
              <w:rPr>
                <w:sz w:val="13"/>
                <w:szCs w:val="13"/>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Michael Evers, as trustees of The Bruce A. LeVahn 2008 Trust and Steven M. LeVahn (Incorporated by reference to Exhibit 10.1 to the Company’s Current Report on</w:t>
            </w:r>
          </w:p>
        </w:tc>
      </w:tr>
      <w:tr>
        <w:trPr>
          <w:trHeight w:val="157"/>
        </w:trPr>
        <w:tc>
          <w:tcPr>
            <w:tcW w:w="1720" w:type="dxa"/>
            <w:vAlign w:val="bottom"/>
          </w:tcPr>
          <w:p>
            <w:pPr>
              <w:spacing w:after="0"/>
              <w:rPr>
                <w:sz w:val="13"/>
                <w:szCs w:val="13"/>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Form 8-K filed on December 29, 2008)</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10.55(a)</w:t>
            </w:r>
          </w:p>
        </w:tc>
        <w:tc>
          <w:tcPr>
            <w:tcW w:w="9740" w:type="dxa"/>
            <w:vAlign w:val="bottom"/>
          </w:tcPr>
          <w:p>
            <w:pPr>
              <w:ind w:left="140"/>
              <w:spacing w:after="0"/>
              <w:rPr>
                <w:sz w:val="20"/>
                <w:szCs w:val="20"/>
                <w:color w:val="auto"/>
              </w:rPr>
            </w:pPr>
            <w:r>
              <w:rPr>
                <w:rFonts w:ascii="Arial" w:cs="Arial" w:eastAsia="Arial" w:hAnsi="Arial"/>
                <w:sz w:val="13"/>
                <w:szCs w:val="13"/>
                <w:color w:val="auto"/>
              </w:rPr>
              <w:t>Lease Agreement between 109 Morgan Lane, LLC and Integra LifeSciences Corporation, dated May 15, 2008 (Incorporated by reference to Exhibit 10.10 to the</w:t>
            </w:r>
          </w:p>
        </w:tc>
      </w:tr>
      <w:tr>
        <w:trPr>
          <w:trHeight w:val="157"/>
        </w:trPr>
        <w:tc>
          <w:tcPr>
            <w:tcW w:w="1720" w:type="dxa"/>
            <w:vAlign w:val="bottom"/>
          </w:tcPr>
          <w:p>
            <w:pPr>
              <w:spacing w:after="0"/>
              <w:rPr>
                <w:sz w:val="13"/>
                <w:szCs w:val="13"/>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Company’s Quarterly Report on Form 10-Q for the quarter ended June 30, 2008)</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10.55(b)</w:t>
            </w:r>
          </w:p>
        </w:tc>
        <w:tc>
          <w:tcPr>
            <w:tcW w:w="9740" w:type="dxa"/>
            <w:vAlign w:val="bottom"/>
          </w:tcPr>
          <w:p>
            <w:pPr>
              <w:ind w:left="140"/>
              <w:spacing w:after="0"/>
              <w:rPr>
                <w:sz w:val="20"/>
                <w:szCs w:val="20"/>
                <w:color w:val="auto"/>
              </w:rPr>
            </w:pPr>
            <w:r>
              <w:rPr>
                <w:rFonts w:ascii="Arial" w:cs="Arial" w:eastAsia="Arial" w:hAnsi="Arial"/>
                <w:sz w:val="13"/>
                <w:szCs w:val="13"/>
                <w:color w:val="auto"/>
              </w:rPr>
              <w:t>First Amendment to Lease Agreement between 109 Morgan Lane, LLC and Integra LifeSciences Corporation, dated March 9, 2009 (Incorporated by reference to</w:t>
            </w:r>
          </w:p>
        </w:tc>
      </w:tr>
      <w:tr>
        <w:trPr>
          <w:trHeight w:val="157"/>
        </w:trPr>
        <w:tc>
          <w:tcPr>
            <w:tcW w:w="1720" w:type="dxa"/>
            <w:vAlign w:val="bottom"/>
          </w:tcPr>
          <w:p>
            <w:pPr>
              <w:spacing w:after="0"/>
              <w:rPr>
                <w:sz w:val="13"/>
                <w:szCs w:val="13"/>
                <w:color w:val="auto"/>
              </w:rPr>
            </w:pPr>
          </w:p>
        </w:tc>
        <w:tc>
          <w:tcPr>
            <w:tcW w:w="9740" w:type="dxa"/>
            <w:vAlign w:val="bottom"/>
          </w:tcPr>
          <w:p>
            <w:pPr>
              <w:ind w:left="140"/>
              <w:spacing w:after="0"/>
              <w:rPr>
                <w:sz w:val="20"/>
                <w:szCs w:val="20"/>
                <w:color w:val="auto"/>
              </w:rPr>
            </w:pPr>
            <w:r>
              <w:rPr>
                <w:rFonts w:ascii="Arial" w:cs="Arial" w:eastAsia="Arial" w:hAnsi="Arial"/>
                <w:sz w:val="13"/>
                <w:szCs w:val="13"/>
                <w:color w:val="auto"/>
              </w:rPr>
              <w:t>Exhibit 10.9 to the Company’s Quarterly Report on Form 10-Q for the quarter ended March 31, 2009)</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21</w:t>
            </w:r>
          </w:p>
        </w:tc>
        <w:tc>
          <w:tcPr>
            <w:tcW w:w="9740" w:type="dxa"/>
            <w:vAlign w:val="bottom"/>
          </w:tcPr>
          <w:p>
            <w:pPr>
              <w:ind w:left="140"/>
              <w:spacing w:after="0"/>
              <w:rPr>
                <w:sz w:val="20"/>
                <w:szCs w:val="20"/>
                <w:color w:val="auto"/>
              </w:rPr>
            </w:pPr>
            <w:r>
              <w:rPr>
                <w:rFonts w:ascii="Arial" w:cs="Arial" w:eastAsia="Arial" w:hAnsi="Arial"/>
                <w:sz w:val="13"/>
                <w:szCs w:val="13"/>
                <w:color w:val="auto"/>
              </w:rPr>
              <w:t>Subsidiaries of the Company+</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23</w:t>
            </w:r>
          </w:p>
        </w:tc>
        <w:tc>
          <w:tcPr>
            <w:tcW w:w="9740" w:type="dxa"/>
            <w:vAlign w:val="bottom"/>
          </w:tcPr>
          <w:p>
            <w:pPr>
              <w:ind w:left="140"/>
              <w:spacing w:after="0"/>
              <w:rPr>
                <w:sz w:val="20"/>
                <w:szCs w:val="20"/>
                <w:color w:val="auto"/>
              </w:rPr>
            </w:pPr>
            <w:r>
              <w:rPr>
                <w:rFonts w:ascii="Arial" w:cs="Arial" w:eastAsia="Arial" w:hAnsi="Arial"/>
                <w:sz w:val="13"/>
                <w:szCs w:val="13"/>
                <w:color w:val="auto"/>
              </w:rPr>
              <w:t>Consent of Pricewaterhouse Coopers LLP+</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31.1</w:t>
            </w:r>
          </w:p>
        </w:tc>
        <w:tc>
          <w:tcPr>
            <w:tcW w:w="9740" w:type="dxa"/>
            <w:vAlign w:val="bottom"/>
          </w:tcPr>
          <w:p>
            <w:pPr>
              <w:ind w:left="140"/>
              <w:spacing w:after="0"/>
              <w:rPr>
                <w:sz w:val="20"/>
                <w:szCs w:val="20"/>
                <w:color w:val="auto"/>
              </w:rPr>
            </w:pPr>
            <w:r>
              <w:rPr>
                <w:rFonts w:ascii="Arial" w:cs="Arial" w:eastAsia="Arial" w:hAnsi="Arial"/>
                <w:sz w:val="13"/>
                <w:szCs w:val="13"/>
                <w:color w:val="auto"/>
              </w:rPr>
              <w:t>Certification of Principal Executive Officer Pursuant to Section 302 of the Sarbanes-Oxley Act of 2002+</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31.2</w:t>
            </w:r>
          </w:p>
        </w:tc>
        <w:tc>
          <w:tcPr>
            <w:tcW w:w="9740" w:type="dxa"/>
            <w:vAlign w:val="bottom"/>
          </w:tcPr>
          <w:p>
            <w:pPr>
              <w:ind w:left="140"/>
              <w:spacing w:after="0"/>
              <w:rPr>
                <w:sz w:val="20"/>
                <w:szCs w:val="20"/>
                <w:color w:val="auto"/>
              </w:rPr>
            </w:pPr>
            <w:r>
              <w:rPr>
                <w:rFonts w:ascii="Arial" w:cs="Arial" w:eastAsia="Arial" w:hAnsi="Arial"/>
                <w:sz w:val="13"/>
                <w:szCs w:val="13"/>
                <w:color w:val="auto"/>
              </w:rPr>
              <w:t>Certification of Principal Financial Officer Pursuant to Section 302 of the Sarbanes-Oxley Act of 2002+</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32.1</w:t>
            </w:r>
          </w:p>
        </w:tc>
        <w:tc>
          <w:tcPr>
            <w:tcW w:w="9740" w:type="dxa"/>
            <w:vAlign w:val="bottom"/>
          </w:tcPr>
          <w:p>
            <w:pPr>
              <w:ind w:left="140"/>
              <w:spacing w:after="0"/>
              <w:rPr>
                <w:sz w:val="20"/>
                <w:szCs w:val="20"/>
                <w:color w:val="auto"/>
              </w:rPr>
            </w:pPr>
            <w:r>
              <w:rPr>
                <w:rFonts w:ascii="Arial" w:cs="Arial" w:eastAsia="Arial" w:hAnsi="Arial"/>
                <w:sz w:val="13"/>
                <w:szCs w:val="13"/>
                <w:color w:val="auto"/>
              </w:rPr>
              <w:t>Certification of Principal Executive Officer Pursuant to Section 906 of the Sarbanes-Oxley Act of 2002+</w:t>
            </w:r>
          </w:p>
        </w:tc>
      </w:tr>
      <w:tr>
        <w:trPr>
          <w:trHeight w:val="157"/>
        </w:trPr>
        <w:tc>
          <w:tcPr>
            <w:tcW w:w="1720" w:type="dxa"/>
            <w:vAlign w:val="bottom"/>
          </w:tcPr>
          <w:p>
            <w:pPr>
              <w:ind w:left="1140"/>
              <w:spacing w:after="0"/>
              <w:rPr>
                <w:sz w:val="20"/>
                <w:szCs w:val="20"/>
                <w:color w:val="auto"/>
              </w:rPr>
            </w:pPr>
            <w:r>
              <w:rPr>
                <w:rFonts w:ascii="Arial" w:cs="Arial" w:eastAsia="Arial" w:hAnsi="Arial"/>
                <w:sz w:val="13"/>
                <w:szCs w:val="13"/>
                <w:color w:val="auto"/>
              </w:rPr>
              <w:t>32.2</w:t>
            </w:r>
          </w:p>
        </w:tc>
        <w:tc>
          <w:tcPr>
            <w:tcW w:w="9740" w:type="dxa"/>
            <w:vAlign w:val="bottom"/>
          </w:tcPr>
          <w:p>
            <w:pPr>
              <w:ind w:left="140"/>
              <w:spacing w:after="0"/>
              <w:rPr>
                <w:sz w:val="20"/>
                <w:szCs w:val="20"/>
                <w:color w:val="auto"/>
              </w:rPr>
            </w:pPr>
            <w:r>
              <w:rPr>
                <w:rFonts w:ascii="Arial" w:cs="Arial" w:eastAsia="Arial" w:hAnsi="Arial"/>
                <w:sz w:val="13"/>
                <w:szCs w:val="13"/>
                <w:color w:val="auto"/>
              </w:rPr>
              <w:t>Certification of Principal Financial Officer Pursuant to Section 906 of the Sarbanes-Oxley Act of 2002+</w:t>
            </w:r>
          </w:p>
        </w:tc>
      </w:tr>
      <w:tr>
        <w:trPr>
          <w:trHeight w:val="157"/>
        </w:trPr>
        <w:tc>
          <w:tcPr>
            <w:tcW w:w="1720" w:type="dxa"/>
            <w:vAlign w:val="bottom"/>
          </w:tcPr>
          <w:p>
            <w:pPr>
              <w:ind w:left="1080"/>
              <w:spacing w:after="0"/>
              <w:rPr>
                <w:sz w:val="20"/>
                <w:szCs w:val="20"/>
                <w:color w:val="auto"/>
              </w:rPr>
            </w:pPr>
            <w:r>
              <w:rPr>
                <w:rFonts w:ascii="Arial" w:cs="Arial" w:eastAsia="Arial" w:hAnsi="Arial"/>
                <w:sz w:val="13"/>
                <w:szCs w:val="13"/>
                <w:color w:val="auto"/>
              </w:rPr>
              <w:t>101.INS</w:t>
            </w:r>
          </w:p>
        </w:tc>
        <w:tc>
          <w:tcPr>
            <w:tcW w:w="9740" w:type="dxa"/>
            <w:vAlign w:val="bottom"/>
          </w:tcPr>
          <w:p>
            <w:pPr>
              <w:ind w:left="140"/>
              <w:spacing w:after="0"/>
              <w:rPr>
                <w:sz w:val="20"/>
                <w:szCs w:val="20"/>
                <w:color w:val="auto"/>
              </w:rPr>
            </w:pPr>
            <w:r>
              <w:rPr>
                <w:rFonts w:ascii="Arial" w:cs="Arial" w:eastAsia="Arial" w:hAnsi="Arial"/>
                <w:sz w:val="13"/>
                <w:szCs w:val="13"/>
                <w:color w:val="auto"/>
              </w:rPr>
              <w:t>XBRL Instance Document+#</w:t>
            </w:r>
          </w:p>
        </w:tc>
      </w:tr>
      <w:tr>
        <w:trPr>
          <w:trHeight w:val="157"/>
        </w:trPr>
        <w:tc>
          <w:tcPr>
            <w:tcW w:w="1720" w:type="dxa"/>
            <w:vAlign w:val="bottom"/>
          </w:tcPr>
          <w:p>
            <w:pPr>
              <w:ind w:left="1080"/>
              <w:spacing w:after="0"/>
              <w:rPr>
                <w:sz w:val="20"/>
                <w:szCs w:val="20"/>
                <w:color w:val="auto"/>
              </w:rPr>
            </w:pPr>
            <w:r>
              <w:rPr>
                <w:rFonts w:ascii="Arial" w:cs="Arial" w:eastAsia="Arial" w:hAnsi="Arial"/>
                <w:sz w:val="13"/>
                <w:szCs w:val="13"/>
                <w:color w:val="auto"/>
              </w:rPr>
              <w:t>101.SCH</w:t>
            </w:r>
          </w:p>
        </w:tc>
        <w:tc>
          <w:tcPr>
            <w:tcW w:w="9740" w:type="dxa"/>
            <w:vAlign w:val="bottom"/>
          </w:tcPr>
          <w:p>
            <w:pPr>
              <w:ind w:left="140"/>
              <w:spacing w:after="0"/>
              <w:rPr>
                <w:sz w:val="20"/>
                <w:szCs w:val="20"/>
                <w:color w:val="auto"/>
              </w:rPr>
            </w:pPr>
            <w:r>
              <w:rPr>
                <w:rFonts w:ascii="Arial" w:cs="Arial" w:eastAsia="Arial" w:hAnsi="Arial"/>
                <w:sz w:val="13"/>
                <w:szCs w:val="13"/>
                <w:color w:val="auto"/>
              </w:rPr>
              <w:t>XBRL Taxonomy Extension Schema Document+#</w:t>
            </w:r>
          </w:p>
        </w:tc>
      </w:tr>
      <w:tr>
        <w:trPr>
          <w:trHeight w:val="157"/>
        </w:trPr>
        <w:tc>
          <w:tcPr>
            <w:tcW w:w="1720" w:type="dxa"/>
            <w:vAlign w:val="bottom"/>
          </w:tcPr>
          <w:p>
            <w:pPr>
              <w:ind w:left="1080"/>
              <w:spacing w:after="0"/>
              <w:rPr>
                <w:sz w:val="20"/>
                <w:szCs w:val="20"/>
                <w:color w:val="auto"/>
              </w:rPr>
            </w:pPr>
            <w:r>
              <w:rPr>
                <w:rFonts w:ascii="Arial" w:cs="Arial" w:eastAsia="Arial" w:hAnsi="Arial"/>
                <w:sz w:val="13"/>
                <w:szCs w:val="13"/>
                <w:color w:val="auto"/>
              </w:rPr>
              <w:t>101.CAL</w:t>
            </w:r>
          </w:p>
        </w:tc>
        <w:tc>
          <w:tcPr>
            <w:tcW w:w="9740" w:type="dxa"/>
            <w:vAlign w:val="bottom"/>
          </w:tcPr>
          <w:p>
            <w:pPr>
              <w:ind w:left="140"/>
              <w:spacing w:after="0"/>
              <w:rPr>
                <w:sz w:val="20"/>
                <w:szCs w:val="20"/>
                <w:color w:val="auto"/>
              </w:rPr>
            </w:pPr>
            <w:r>
              <w:rPr>
                <w:rFonts w:ascii="Arial" w:cs="Arial" w:eastAsia="Arial" w:hAnsi="Arial"/>
                <w:sz w:val="13"/>
                <w:szCs w:val="13"/>
                <w:color w:val="auto"/>
              </w:rPr>
              <w:t>XBRL Taxonomy Extension Calculation Linkbase Document+#</w:t>
            </w:r>
          </w:p>
        </w:tc>
      </w:tr>
      <w:tr>
        <w:trPr>
          <w:trHeight w:val="157"/>
        </w:trPr>
        <w:tc>
          <w:tcPr>
            <w:tcW w:w="1720" w:type="dxa"/>
            <w:vAlign w:val="bottom"/>
          </w:tcPr>
          <w:p>
            <w:pPr>
              <w:ind w:left="1080"/>
              <w:spacing w:after="0"/>
              <w:rPr>
                <w:sz w:val="20"/>
                <w:szCs w:val="20"/>
                <w:color w:val="auto"/>
              </w:rPr>
            </w:pPr>
            <w:r>
              <w:rPr>
                <w:rFonts w:ascii="Arial" w:cs="Arial" w:eastAsia="Arial" w:hAnsi="Arial"/>
                <w:sz w:val="13"/>
                <w:szCs w:val="13"/>
                <w:color w:val="auto"/>
              </w:rPr>
              <w:t>101.LAB</w:t>
            </w:r>
          </w:p>
        </w:tc>
        <w:tc>
          <w:tcPr>
            <w:tcW w:w="9740" w:type="dxa"/>
            <w:vAlign w:val="bottom"/>
          </w:tcPr>
          <w:p>
            <w:pPr>
              <w:ind w:left="140"/>
              <w:spacing w:after="0"/>
              <w:rPr>
                <w:sz w:val="20"/>
                <w:szCs w:val="20"/>
                <w:color w:val="auto"/>
              </w:rPr>
            </w:pPr>
            <w:r>
              <w:rPr>
                <w:rFonts w:ascii="Arial" w:cs="Arial" w:eastAsia="Arial" w:hAnsi="Arial"/>
                <w:sz w:val="13"/>
                <w:szCs w:val="13"/>
                <w:color w:val="auto"/>
              </w:rPr>
              <w:t>XBRL Taxonomy Extension Labels Linkbase Document+#</w:t>
            </w:r>
          </w:p>
        </w:tc>
      </w:tr>
      <w:tr>
        <w:trPr>
          <w:trHeight w:val="165"/>
        </w:trPr>
        <w:tc>
          <w:tcPr>
            <w:tcW w:w="1720" w:type="dxa"/>
            <w:vAlign w:val="bottom"/>
          </w:tcPr>
          <w:p>
            <w:pPr>
              <w:ind w:left="1080"/>
              <w:spacing w:after="0"/>
              <w:rPr>
                <w:sz w:val="20"/>
                <w:szCs w:val="20"/>
                <w:color w:val="auto"/>
              </w:rPr>
            </w:pPr>
            <w:r>
              <w:rPr>
                <w:rFonts w:ascii="Arial" w:cs="Arial" w:eastAsia="Arial" w:hAnsi="Arial"/>
                <w:sz w:val="13"/>
                <w:szCs w:val="13"/>
                <w:color w:val="auto"/>
              </w:rPr>
              <w:t>101.PRE</w:t>
            </w:r>
          </w:p>
        </w:tc>
        <w:tc>
          <w:tcPr>
            <w:tcW w:w="9740" w:type="dxa"/>
            <w:vAlign w:val="bottom"/>
          </w:tcPr>
          <w:p>
            <w:pPr>
              <w:ind w:left="140"/>
              <w:spacing w:after="0"/>
              <w:rPr>
                <w:sz w:val="20"/>
                <w:szCs w:val="20"/>
                <w:color w:val="auto"/>
              </w:rPr>
            </w:pPr>
            <w:r>
              <w:rPr>
                <w:rFonts w:ascii="Arial" w:cs="Arial" w:eastAsia="Arial" w:hAnsi="Arial"/>
                <w:sz w:val="13"/>
                <w:szCs w:val="13"/>
                <w:color w:val="auto"/>
              </w:rPr>
              <w:t>XBRL Taxonomy Extension Presentation Linkbase Document+#</w:t>
            </w:r>
          </w:p>
        </w:tc>
      </w:tr>
      <w:tr>
        <w:trPr>
          <w:trHeight w:val="321"/>
        </w:trPr>
        <w:tc>
          <w:tcPr>
            <w:tcW w:w="1720" w:type="dxa"/>
            <w:vAlign w:val="bottom"/>
            <w:tcBorders>
              <w:bottom w:val="single" w:sz="8" w:color="808080"/>
            </w:tcBorders>
          </w:tcPr>
          <w:p>
            <w:pPr>
              <w:spacing w:after="0"/>
              <w:rPr>
                <w:sz w:val="24"/>
                <w:szCs w:val="24"/>
                <w:color w:val="auto"/>
              </w:rPr>
            </w:pPr>
          </w:p>
        </w:tc>
        <w:tc>
          <w:tcPr>
            <w:tcW w:w="9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680" w:right="5920" w:firstLine="7"/>
        <w:spacing w:after="0" w:line="341" w:lineRule="auto"/>
        <w:tabs>
          <w:tab w:leader="none" w:pos="886"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Indicates a management contract or compensatory plan or arrangement. + Indicates this document is filed as an exhibit herewith.</w:t>
      </w:r>
    </w:p>
    <w:p>
      <w:pPr>
        <w:spacing w:after="0" w:line="1" w:lineRule="exact"/>
        <w:rPr>
          <w:sz w:val="20"/>
          <w:szCs w:val="20"/>
          <w:color w:val="auto"/>
        </w:rPr>
      </w:pPr>
    </w:p>
    <w:p>
      <w:pPr>
        <w:ind w:left="900" w:hanging="213"/>
        <w:spacing w:after="0" w:line="334" w:lineRule="auto"/>
        <w:tabs>
          <w:tab w:leader="none" w:pos="900"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The financial information of Integra LifeSciences Holdings Corporation Annual Report on Form 10-K for the year ended December 31, 2010 filed on February 24, 2011 formatted in XBRL (Extensible Business Reporting Language): (i) the Consolidated Statements of Operations, (ii) the Consolidated Balance Sheets, (iii) the Consolidated Statements of Cash Flows, (iv) the Consolidated Statements of Changes in Stockholders’ Equity, and (v) Notes to Consolidated Financial Statements, is furnished electronically herewith as tagged blocks of text.</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Commission File Number for Reports on Form 10-K, Form 10-Q and Form 8-K is 0-26224.</w:t>
      </w:r>
    </w:p>
    <w:p>
      <w:pPr>
        <w:sectPr>
          <w:pgSz w:w="11900" w:h="16838" w:orient="portrait"/>
          <w:cols w:equalWidth="0" w:num="1">
            <w:col w:w="10560"/>
          </w:cols>
          <w:pgMar w:left="220" w:top="343" w:right="11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Exhibit 10.17(a)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SEVERANCE AGREEMENT</w:t>
      </w:r>
    </w:p>
    <w:p>
      <w:pPr>
        <w:spacing w:after="0" w:line="90" w:lineRule="exact"/>
        <w:rPr>
          <w:sz w:val="20"/>
          <w:szCs w:val="20"/>
          <w:color w:val="auto"/>
        </w:rPr>
      </w:pPr>
    </w:p>
    <w:p>
      <w:pPr>
        <w:ind w:right="360" w:firstLine="161"/>
        <w:spacing w:after="0" w:line="276" w:lineRule="auto"/>
        <w:rPr>
          <w:sz w:val="20"/>
          <w:szCs w:val="20"/>
          <w:color w:val="auto"/>
        </w:rPr>
      </w:pPr>
      <w:r>
        <w:rPr>
          <w:rFonts w:ascii="Arial" w:cs="Arial" w:eastAsia="Arial" w:hAnsi="Arial"/>
          <w:sz w:val="13"/>
          <w:szCs w:val="13"/>
          <w:color w:val="auto"/>
        </w:rPr>
        <w:t>THIS SEVERANCE AGREEMENT (this “Agreement”) is made as of the 3rd day of January, 2011 by and between Integra LifeSciences Holdings Corporation, a Delaware Corporation, and Judith E. O’Grady (“Executive”).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Background</w:t>
      </w:r>
    </w:p>
    <w:p>
      <w:pPr>
        <w:spacing w:after="0" w:line="90" w:lineRule="exact"/>
        <w:rPr>
          <w:sz w:val="20"/>
          <w:szCs w:val="20"/>
          <w:color w:val="auto"/>
        </w:rPr>
      </w:pPr>
    </w:p>
    <w:p>
      <w:pPr>
        <w:ind w:right="520" w:firstLine="161"/>
        <w:spacing w:after="0" w:line="276" w:lineRule="auto"/>
        <w:rPr>
          <w:sz w:val="20"/>
          <w:szCs w:val="20"/>
          <w:color w:val="auto"/>
        </w:rPr>
      </w:pPr>
      <w:r>
        <w:rPr>
          <w:rFonts w:ascii="Arial" w:cs="Arial" w:eastAsia="Arial" w:hAnsi="Arial"/>
          <w:sz w:val="13"/>
          <w:szCs w:val="13"/>
          <w:color w:val="auto"/>
        </w:rPr>
        <w:t>WHEREAS, this Agreement is, in part, intended to specify the financial arrangements that the Company (as defined below) will provide to Executive upon Executive’s separation from employment with the Company in connection with or after a Change in Control (as defined below).</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premises and the mutual agreements contained herein and intended to be legally bound hereby, the parties hereto agree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Terms</w:t>
      </w:r>
    </w:p>
    <w:p>
      <w:pPr>
        <w:spacing w:after="0" w:line="86" w:lineRule="exact"/>
        <w:rPr>
          <w:sz w:val="20"/>
          <w:szCs w:val="20"/>
          <w:color w:val="auto"/>
        </w:rPr>
      </w:pPr>
    </w:p>
    <w:p>
      <w:pPr>
        <w:ind w:left="300" w:hanging="138"/>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b w:val="1"/>
          <w:bCs w:val="1"/>
          <w:u w:val="single" w:color="auto"/>
          <w:color w:val="auto"/>
        </w:rPr>
        <w:t>Definitions</w:t>
      </w:r>
      <w:r>
        <w:rPr>
          <w:rFonts w:ascii="Arial" w:cs="Arial" w:eastAsia="Arial" w:hAnsi="Arial"/>
          <w:sz w:val="13"/>
          <w:szCs w:val="13"/>
          <w:b w:val="1"/>
          <w:bCs w:val="1"/>
          <w:color w:val="auto"/>
        </w:rPr>
        <w:t xml:space="preserve">. </w:t>
      </w:r>
      <w:r>
        <w:rPr>
          <w:rFonts w:ascii="Arial" w:cs="Arial" w:eastAsia="Arial" w:hAnsi="Arial"/>
          <w:sz w:val="13"/>
          <w:szCs w:val="13"/>
          <w:color w:val="auto"/>
        </w:rPr>
        <w:t>The following words and phrases shall have the meanings set forth below for the purposes of this Agreement (unless the context clearly indicates otherwise):</w:t>
      </w:r>
    </w:p>
    <w:p>
      <w:pPr>
        <w:spacing w:after="0" w:line="90" w:lineRule="exact"/>
        <w:rPr>
          <w:rFonts w:ascii="Arial" w:cs="Arial" w:eastAsia="Arial" w:hAnsi="Arial"/>
          <w:sz w:val="13"/>
          <w:szCs w:val="13"/>
          <w:color w:val="auto"/>
        </w:rPr>
      </w:pPr>
    </w:p>
    <w:p>
      <w:pPr>
        <w:ind w:left="900" w:right="520" w:hanging="449"/>
        <w:spacing w:after="0" w:line="371" w:lineRule="auto"/>
        <w:tabs>
          <w:tab w:leader="none" w:pos="900" w:val="left"/>
        </w:tabs>
        <w:numPr>
          <w:ilvl w:val="1"/>
          <w:numId w:val="4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Base Salary</w:t>
      </w:r>
      <w:r>
        <w:rPr>
          <w:rFonts w:ascii="Arial" w:cs="Arial" w:eastAsia="Arial" w:hAnsi="Arial"/>
          <w:sz w:val="11"/>
          <w:szCs w:val="11"/>
          <w:color w:val="auto"/>
        </w:rPr>
        <w:t>” shall mean a minimum base salary of $250,000 per year, payable in periodic installments in accordance with the Company’s regular payroll practices in effect from time to time. Executive’s Base Salary shall be subject to annual reviews, and may increase pursuant to such reviews, in which case the increased annual Base Salary shall become the “Base Salary.”</w:t>
      </w:r>
    </w:p>
    <w:p>
      <w:pPr>
        <w:spacing w:after="0" w:line="11" w:lineRule="exact"/>
        <w:rPr>
          <w:rFonts w:ascii="Arial" w:cs="Arial" w:eastAsia="Arial" w:hAnsi="Arial"/>
          <w:sz w:val="11"/>
          <w:szCs w:val="11"/>
          <w:color w:val="auto"/>
        </w:rPr>
      </w:pPr>
    </w:p>
    <w:p>
      <w:pPr>
        <w:ind w:left="900" w:hanging="449"/>
        <w:spacing w:after="0"/>
        <w:tabs>
          <w:tab w:leader="none" w:pos="9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shall mean the Board of Directors of the Company, or any successor thereto.</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Cause</w:t>
      </w:r>
      <w:r>
        <w:rPr>
          <w:rFonts w:ascii="Arial" w:cs="Arial" w:eastAsia="Arial" w:hAnsi="Arial"/>
          <w:sz w:val="13"/>
          <w:szCs w:val="13"/>
          <w:color w:val="auto"/>
        </w:rPr>
        <w:t>,” as determined by the Board in good faith, shall mean Executive has —</w:t>
      </w:r>
    </w:p>
    <w:p>
      <w:pPr>
        <w:spacing w:after="0" w:line="86" w:lineRule="exact"/>
        <w:rPr>
          <w:rFonts w:ascii="Arial" w:cs="Arial" w:eastAsia="Arial" w:hAnsi="Arial"/>
          <w:sz w:val="13"/>
          <w:szCs w:val="13"/>
          <w:color w:val="auto"/>
        </w:rPr>
      </w:pPr>
    </w:p>
    <w:p>
      <w:pPr>
        <w:ind w:left="1600" w:hanging="461"/>
        <w:spacing w:after="0"/>
        <w:tabs>
          <w:tab w:leader="none" w:pos="1600" w:val="left"/>
        </w:tabs>
        <w:numPr>
          <w:ilvl w:val="2"/>
          <w:numId w:val="42"/>
        </w:numPr>
        <w:rPr>
          <w:rFonts w:ascii="Arial" w:cs="Arial" w:eastAsia="Arial" w:hAnsi="Arial"/>
          <w:sz w:val="13"/>
          <w:szCs w:val="13"/>
          <w:color w:val="auto"/>
        </w:rPr>
      </w:pPr>
      <w:r>
        <w:rPr>
          <w:rFonts w:ascii="Arial" w:cs="Arial" w:eastAsia="Arial" w:hAnsi="Arial"/>
          <w:sz w:val="13"/>
          <w:szCs w:val="13"/>
          <w:color w:val="auto"/>
        </w:rPr>
        <w:t>failed to perform his stated duties in all material respects, which failure continues for 15 days after his receipt of written notice of the failure;</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2"/>
          <w:numId w:val="42"/>
        </w:numPr>
        <w:rPr>
          <w:rFonts w:ascii="Arial" w:cs="Arial" w:eastAsia="Arial" w:hAnsi="Arial"/>
          <w:sz w:val="13"/>
          <w:szCs w:val="13"/>
          <w:color w:val="auto"/>
        </w:rPr>
      </w:pPr>
      <w:r>
        <w:rPr>
          <w:rFonts w:ascii="Arial" w:cs="Arial" w:eastAsia="Arial" w:hAnsi="Arial"/>
          <w:sz w:val="13"/>
          <w:szCs w:val="13"/>
          <w:color w:val="auto"/>
        </w:rPr>
        <w:t>intentionally and materially breached any provision of this Agreement and not cured such breach (if curable) within 15 days of his receipt of written notice of the breach;</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2"/>
          <w:numId w:val="42"/>
        </w:numPr>
        <w:rPr>
          <w:rFonts w:ascii="Arial" w:cs="Arial" w:eastAsia="Arial" w:hAnsi="Arial"/>
          <w:sz w:val="13"/>
          <w:szCs w:val="13"/>
          <w:color w:val="auto"/>
        </w:rPr>
      </w:pPr>
      <w:r>
        <w:rPr>
          <w:rFonts w:ascii="Arial" w:cs="Arial" w:eastAsia="Arial" w:hAnsi="Arial"/>
          <w:sz w:val="13"/>
          <w:szCs w:val="13"/>
          <w:color w:val="auto"/>
        </w:rPr>
        <w:t>demonstrated his personal dishonesty in connection with his employment by the Company;</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2"/>
          <w:numId w:val="42"/>
        </w:numPr>
        <w:rPr>
          <w:rFonts w:ascii="Arial" w:cs="Arial" w:eastAsia="Arial" w:hAnsi="Arial"/>
          <w:sz w:val="13"/>
          <w:szCs w:val="13"/>
          <w:color w:val="auto"/>
        </w:rPr>
      </w:pPr>
      <w:r>
        <w:rPr>
          <w:rFonts w:ascii="Arial" w:cs="Arial" w:eastAsia="Arial" w:hAnsi="Arial"/>
          <w:sz w:val="13"/>
          <w:szCs w:val="13"/>
          <w:color w:val="auto"/>
        </w:rPr>
        <w:t>engaged in a breach of fiduciary duty in connection with his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6" w:name="page107"/>
    <w:bookmarkEnd w:id="106"/>
    <w:p>
      <w:pPr>
        <w:ind w:left="1149" w:hanging="461"/>
        <w:spacing w:after="0"/>
        <w:tabs>
          <w:tab w:leader="none" w:pos="1149" w:val="left"/>
        </w:tabs>
        <w:numPr>
          <w:ilvl w:val="1"/>
          <w:numId w:val="43"/>
        </w:numPr>
        <w:rPr>
          <w:rFonts w:ascii="Arial" w:cs="Arial" w:eastAsia="Arial" w:hAnsi="Arial"/>
          <w:sz w:val="13"/>
          <w:szCs w:val="13"/>
          <w:color w:val="auto"/>
        </w:rPr>
      </w:pPr>
      <w:r>
        <w:rPr>
          <w:rFonts w:ascii="Arial" w:cs="Arial" w:eastAsia="Arial" w:hAnsi="Arial"/>
          <w:sz w:val="13"/>
          <w:szCs w:val="13"/>
          <w:color w:val="auto"/>
        </w:rPr>
        <w:t>engaged in willful misconduct that is materially and demonstrably injurious to the Company or any of its subsidiaries; or</w:t>
      </w:r>
    </w:p>
    <w:p>
      <w:pPr>
        <w:spacing w:after="0" w:line="96" w:lineRule="exact"/>
        <w:rPr>
          <w:rFonts w:ascii="Arial" w:cs="Arial" w:eastAsia="Arial" w:hAnsi="Arial"/>
          <w:sz w:val="13"/>
          <w:szCs w:val="13"/>
          <w:color w:val="auto"/>
        </w:rPr>
      </w:pPr>
    </w:p>
    <w:p>
      <w:pPr>
        <w:ind w:left="1149" w:right="100" w:hanging="461"/>
        <w:spacing w:after="0" w:line="276" w:lineRule="auto"/>
        <w:tabs>
          <w:tab w:leader="none" w:pos="1149" w:val="left"/>
        </w:tabs>
        <w:numPr>
          <w:ilvl w:val="1"/>
          <w:numId w:val="43"/>
        </w:numPr>
        <w:rPr>
          <w:rFonts w:ascii="Arial" w:cs="Arial" w:eastAsia="Arial" w:hAnsi="Arial"/>
          <w:sz w:val="13"/>
          <w:szCs w:val="13"/>
          <w:color w:val="auto"/>
        </w:rPr>
      </w:pPr>
      <w:r>
        <w:rPr>
          <w:rFonts w:ascii="Arial" w:cs="Arial" w:eastAsia="Arial" w:hAnsi="Arial"/>
          <w:sz w:val="13"/>
          <w:szCs w:val="13"/>
          <w:color w:val="auto"/>
        </w:rPr>
        <w:t xml:space="preserve">been convicted or entered a plea of guilty or </w:t>
      </w:r>
      <w:r>
        <w:rPr>
          <w:rFonts w:ascii="Arial" w:cs="Arial" w:eastAsia="Arial" w:hAnsi="Arial"/>
          <w:sz w:val="13"/>
          <w:szCs w:val="13"/>
          <w:u w:val="single" w:color="auto"/>
          <w:color w:val="auto"/>
        </w:rPr>
        <w:t>nolo contendere</w:t>
      </w:r>
      <w:r>
        <w:rPr>
          <w:rFonts w:ascii="Arial" w:cs="Arial" w:eastAsia="Arial" w:hAnsi="Arial"/>
          <w:sz w:val="13"/>
          <w:szCs w:val="13"/>
          <w:color w:val="auto"/>
        </w:rPr>
        <w:t xml:space="preserve"> to a felony or to any other crime involving moral turpitude which conviction or plea is materially and demonstrably injurious to the Company or any of its subsidiaries.</w:t>
      </w:r>
    </w:p>
    <w:p>
      <w:pPr>
        <w:spacing w:after="0" w:line="49" w:lineRule="exact"/>
        <w:rPr>
          <w:rFonts w:ascii="Arial" w:cs="Arial" w:eastAsia="Arial" w:hAnsi="Arial"/>
          <w:sz w:val="13"/>
          <w:szCs w:val="13"/>
          <w:color w:val="auto"/>
        </w:rPr>
      </w:pPr>
    </w:p>
    <w:p>
      <w:pPr>
        <w:ind w:left="449" w:hanging="449"/>
        <w:spacing w:after="0"/>
        <w:tabs>
          <w:tab w:leader="none" w:pos="449" w:val="left"/>
        </w:tabs>
        <w:numPr>
          <w:ilvl w:val="0"/>
          <w:numId w:val="44"/>
        </w:numPr>
        <w:rPr>
          <w:rFonts w:ascii="Arial" w:cs="Arial" w:eastAsia="Arial" w:hAnsi="Arial"/>
          <w:sz w:val="13"/>
          <w:szCs w:val="13"/>
          <w:color w:val="auto"/>
        </w:rPr>
      </w:pPr>
      <w:r>
        <w:rPr>
          <w:rFonts w:ascii="Arial" w:cs="Arial" w:eastAsia="Arial" w:hAnsi="Arial"/>
          <w:sz w:val="13"/>
          <w:szCs w:val="13"/>
          <w:color w:val="auto"/>
        </w:rPr>
        <w:t>A “</w:t>
      </w:r>
      <w:r>
        <w:rPr>
          <w:rFonts w:ascii="Arial" w:cs="Arial" w:eastAsia="Arial" w:hAnsi="Arial"/>
          <w:sz w:val="13"/>
          <w:szCs w:val="13"/>
          <w:u w:val="single" w:color="auto"/>
          <w:color w:val="auto"/>
        </w:rPr>
        <w:t>Change in Control</w:t>
      </w:r>
      <w:r>
        <w:rPr>
          <w:rFonts w:ascii="Arial" w:cs="Arial" w:eastAsia="Arial" w:hAnsi="Arial"/>
          <w:sz w:val="13"/>
          <w:szCs w:val="13"/>
          <w:color w:val="auto"/>
        </w:rPr>
        <w:t>” of the Company shall be deemed to have occurred:</w:t>
      </w:r>
    </w:p>
    <w:p>
      <w:pPr>
        <w:spacing w:after="0" w:line="86" w:lineRule="exact"/>
        <w:rPr>
          <w:rFonts w:ascii="Arial" w:cs="Arial" w:eastAsia="Arial" w:hAnsi="Arial"/>
          <w:sz w:val="13"/>
          <w:szCs w:val="13"/>
          <w:color w:val="auto"/>
        </w:rPr>
      </w:pPr>
    </w:p>
    <w:p>
      <w:pPr>
        <w:ind w:left="1149" w:hanging="461"/>
        <w:spacing w:after="0" w:line="282" w:lineRule="auto"/>
        <w:tabs>
          <w:tab w:leader="none" w:pos="1149" w:val="left"/>
        </w:tabs>
        <w:numPr>
          <w:ilvl w:val="1"/>
          <w:numId w:val="44"/>
        </w:numPr>
        <w:rPr>
          <w:rFonts w:ascii="Arial" w:cs="Arial" w:eastAsia="Arial" w:hAnsi="Arial"/>
          <w:sz w:val="12"/>
          <w:szCs w:val="12"/>
          <w:color w:val="auto"/>
        </w:rPr>
      </w:pPr>
      <w:r>
        <w:rPr>
          <w:rFonts w:ascii="Arial" w:cs="Arial" w:eastAsia="Arial" w:hAnsi="Arial"/>
          <w:sz w:val="12"/>
          <w:szCs w:val="12"/>
          <w:color w:val="auto"/>
        </w:rPr>
        <w:t xml:space="preserve">if the “beneficial ownership” (as defined in Rule 13d-3 under the Securities Exchange Act of 1934) of securities representing more than fifty percent (50%) of the combined voting power of Company Voting Securities (as herein defined) is acquired by any individual, entity or group (a “Person”),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(for purposes of this Agreement, “Company Voting Securities” shall mean the then outstanding voting securities of the Company entitled to vote generally in the election of directors);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any acquisition from the Company or any acquisition pursuant to a transaction which complies with clauses (i), (ii) and (iii) of paragraph (3) of this definition shall not be a Change in Control under this paragraph (1); or</w:t>
      </w:r>
    </w:p>
    <w:p>
      <w:pPr>
        <w:spacing w:after="0" w:line="59" w:lineRule="exact"/>
        <w:rPr>
          <w:rFonts w:ascii="Arial" w:cs="Arial" w:eastAsia="Arial" w:hAnsi="Arial"/>
          <w:sz w:val="12"/>
          <w:szCs w:val="12"/>
          <w:color w:val="auto"/>
        </w:rPr>
      </w:pPr>
    </w:p>
    <w:p>
      <w:pPr>
        <w:ind w:left="1149" w:right="80" w:hanging="461"/>
        <w:spacing w:after="0" w:line="258" w:lineRule="auto"/>
        <w:tabs>
          <w:tab w:leader="none" w:pos="1149" w:val="left"/>
        </w:tabs>
        <w:numPr>
          <w:ilvl w:val="1"/>
          <w:numId w:val="44"/>
        </w:numPr>
        <w:rPr>
          <w:rFonts w:ascii="Arial" w:cs="Arial" w:eastAsia="Arial" w:hAnsi="Arial"/>
          <w:sz w:val="13"/>
          <w:szCs w:val="13"/>
          <w:color w:val="auto"/>
        </w:rPr>
      </w:pPr>
      <w:r>
        <w:rPr>
          <w:rFonts w:ascii="Arial" w:cs="Arial" w:eastAsia="Arial" w:hAnsi="Arial"/>
          <w:sz w:val="13"/>
          <w:szCs w:val="13"/>
          <w:color w:val="auto"/>
        </w:rPr>
        <w:t>if individuals who, as of the date hereof, constitute the Board (the “Incumbent Board”) cease for any reason during any period of at least 24 months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9"/>
          </w:cols>
          <w:pgMar w:left="671" w:top="720" w:right="219" w:bottom="1440" w:gutter="0" w:footer="0" w:header="0"/>
        </w:sectPr>
      </w:pPr>
    </w:p>
    <w:bookmarkStart w:id="107" w:name="page108"/>
    <w:bookmarkEnd w:id="107"/>
    <w:p>
      <w:pPr>
        <w:ind w:left="1149"/>
        <w:spacing w:after="0"/>
        <w:rPr>
          <w:sz w:val="20"/>
          <w:szCs w:val="20"/>
          <w:color w:val="auto"/>
        </w:rPr>
      </w:pPr>
      <w:r>
        <w:rPr>
          <w:rFonts w:ascii="Arial" w:cs="Arial" w:eastAsia="Arial" w:hAnsi="Arial"/>
          <w:sz w:val="13"/>
          <w:szCs w:val="13"/>
          <w:color w:val="auto"/>
        </w:rPr>
        <w:t>consents by or on behalf of a Person other than the Board; or</w:t>
      </w:r>
    </w:p>
    <w:p>
      <w:pPr>
        <w:spacing w:after="0" w:line="96" w:lineRule="exact"/>
        <w:rPr>
          <w:sz w:val="20"/>
          <w:szCs w:val="20"/>
          <w:color w:val="auto"/>
        </w:rPr>
      </w:pPr>
    </w:p>
    <w:p>
      <w:pPr>
        <w:ind w:left="1149" w:hanging="461"/>
        <w:spacing w:after="0" w:line="306" w:lineRule="auto"/>
        <w:tabs>
          <w:tab w:leader="none" w:pos="1149" w:val="left"/>
        </w:tabs>
        <w:numPr>
          <w:ilvl w:val="1"/>
          <w:numId w:val="45"/>
        </w:numPr>
        <w:rPr>
          <w:rFonts w:ascii="Arial" w:cs="Arial" w:eastAsia="Arial" w:hAnsi="Arial"/>
          <w:sz w:val="11"/>
          <w:szCs w:val="11"/>
          <w:color w:val="auto"/>
        </w:rPr>
      </w:pPr>
      <w:r>
        <w:rPr>
          <w:rFonts w:ascii="Arial" w:cs="Arial" w:eastAsia="Arial" w:hAnsi="Arial"/>
          <w:sz w:val="11"/>
          <w:szCs w:val="11"/>
          <w:color w:val="auto"/>
        </w:rPr>
        <w:t>upon consummation by the Company of a reorganization, merger or consolidation or sale or other disposition of all or substantially all of the assets of the Company or the acquisition of assets or stock of any entity (a “Business Combination”), in each case, unless immediately following such Business Combination: (i) Company Voting Securities outstanding immediately prior to such Business Combination (or if such Company Voting Securities were converted pursuant to such Business Combination, the shares into which such Company Voting Securities were converted) (x) represent, directly or indirectly, more than 50% of the combined voting power of the then outstanding voting securities entitled to vote generally in the election of directors of the corporation resulting from such Business Combination (the “Surviving Corporation”), or, if applicable, a corporation which as a result of such transaction owns the Company or all or substantially all of the Company’s assets either directly or through one or more subsidiaries (the “Parent Corporation”) and (y) are held in substantially the same proportions after such Business Combination as they were immediately prior to such Business Combination; (ii) no Person (excluding any employee benefit plan (or related trust) of the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the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205" w:lineRule="exact"/>
        <w:rPr>
          <w:rFonts w:ascii="Arial" w:cs="Arial" w:eastAsia="Arial" w:hAnsi="Arial"/>
          <w:sz w:val="11"/>
          <w:szCs w:val="11"/>
          <w:color w:val="auto"/>
        </w:rPr>
      </w:pPr>
    </w:p>
    <w:p>
      <w:pPr>
        <w:ind w:left="1149" w:hanging="461"/>
        <w:spacing w:after="0"/>
        <w:tabs>
          <w:tab w:leader="none" w:pos="1149" w:val="left"/>
        </w:tabs>
        <w:numPr>
          <w:ilvl w:val="1"/>
          <w:numId w:val="45"/>
        </w:numPr>
        <w:rPr>
          <w:rFonts w:ascii="Arial" w:cs="Arial" w:eastAsia="Arial" w:hAnsi="Arial"/>
          <w:sz w:val="13"/>
          <w:szCs w:val="13"/>
          <w:color w:val="auto"/>
        </w:rPr>
      </w:pPr>
      <w:r>
        <w:rPr>
          <w:rFonts w:ascii="Arial" w:cs="Arial" w:eastAsia="Arial" w:hAnsi="Arial"/>
          <w:sz w:val="13"/>
          <w:szCs w:val="13"/>
          <w:color w:val="auto"/>
        </w:rPr>
        <w:t>upon approval by the stockholders of the Company of a complete liquidation or dissolution of the Company.</w:t>
      </w:r>
    </w:p>
    <w:p>
      <w:pPr>
        <w:spacing w:after="0" w:line="86" w:lineRule="exact"/>
        <w:rPr>
          <w:rFonts w:ascii="Arial" w:cs="Arial" w:eastAsia="Arial" w:hAnsi="Arial"/>
          <w:sz w:val="13"/>
          <w:szCs w:val="13"/>
          <w:color w:val="auto"/>
        </w:rPr>
      </w:pPr>
    </w:p>
    <w:p>
      <w:pPr>
        <w:ind w:left="449" w:hanging="449"/>
        <w:spacing w:after="0"/>
        <w:tabs>
          <w:tab w:leader="none" w:pos="449" w:val="left"/>
        </w:tabs>
        <w:numPr>
          <w:ilvl w:val="0"/>
          <w:numId w:val="4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shall mean the Internal Revenue Code of 1986, as amended.</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9"/>
          </w:cols>
          <w:pgMar w:left="671" w:top="720" w:right="219" w:bottom="1440" w:gutter="0" w:footer="0" w:header="0"/>
        </w:sectPr>
      </w:pPr>
    </w:p>
    <w:bookmarkStart w:id="108" w:name="page109"/>
    <w:bookmarkEnd w:id="108"/>
    <w:p>
      <w:pPr>
        <w:ind w:left="449" w:right="200" w:hanging="449"/>
        <w:spacing w:after="0" w:line="276" w:lineRule="auto"/>
        <w:tabs>
          <w:tab w:leader="none" w:pos="449"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shall mean Integra LifeSciences Holdings Corporation and any corporation, partnership or other entity owned directly or indirectly, in whole or in part, by Integra LifeSciences Holdings Corporation.</w:t>
      </w:r>
    </w:p>
    <w:p>
      <w:pPr>
        <w:spacing w:after="0" w:line="59" w:lineRule="exact"/>
        <w:rPr>
          <w:rFonts w:ascii="Arial" w:cs="Arial" w:eastAsia="Arial" w:hAnsi="Arial"/>
          <w:sz w:val="13"/>
          <w:szCs w:val="13"/>
          <w:color w:val="auto"/>
        </w:rPr>
      </w:pPr>
    </w:p>
    <w:p>
      <w:pPr>
        <w:ind w:left="449" w:right="140" w:hanging="449"/>
        <w:spacing w:after="0" w:line="276" w:lineRule="auto"/>
        <w:tabs>
          <w:tab w:leader="none" w:pos="449"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shall mean Executive’s inability to perform his duties hereunder by reason of any medically determinable physical or mental impairment which is expected to result in death or which has lasted or is expected to last for a continuous period of not fewer than six months.</w:t>
      </w:r>
    </w:p>
    <w:p>
      <w:pPr>
        <w:spacing w:after="0" w:line="59" w:lineRule="exact"/>
        <w:rPr>
          <w:rFonts w:ascii="Arial" w:cs="Arial" w:eastAsia="Arial" w:hAnsi="Arial"/>
          <w:sz w:val="13"/>
          <w:szCs w:val="13"/>
          <w:color w:val="auto"/>
        </w:rPr>
      </w:pPr>
    </w:p>
    <w:p>
      <w:pPr>
        <w:ind w:left="449" w:hanging="449"/>
        <w:spacing w:after="0"/>
        <w:tabs>
          <w:tab w:leader="none" w:pos="449" w:val="left"/>
        </w:tabs>
        <w:numPr>
          <w:ilvl w:val="0"/>
          <w:numId w:val="4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Good Reason</w:t>
      </w:r>
      <w:r>
        <w:rPr>
          <w:rFonts w:ascii="Arial" w:cs="Arial" w:eastAsia="Arial" w:hAnsi="Arial"/>
          <w:sz w:val="13"/>
          <w:szCs w:val="13"/>
          <w:color w:val="auto"/>
        </w:rPr>
        <w:t>” shall mean:</w:t>
      </w:r>
    </w:p>
    <w:p>
      <w:pPr>
        <w:spacing w:after="0" w:line="86" w:lineRule="exact"/>
        <w:rPr>
          <w:rFonts w:ascii="Arial" w:cs="Arial" w:eastAsia="Arial" w:hAnsi="Arial"/>
          <w:sz w:val="13"/>
          <w:szCs w:val="13"/>
          <w:color w:val="auto"/>
        </w:rPr>
      </w:pPr>
    </w:p>
    <w:p>
      <w:pPr>
        <w:ind w:left="1149" w:hanging="461"/>
        <w:spacing w:after="0"/>
        <w:tabs>
          <w:tab w:leader="none" w:pos="1149" w:val="left"/>
        </w:tabs>
        <w:numPr>
          <w:ilvl w:val="1"/>
          <w:numId w:val="47"/>
        </w:numPr>
        <w:rPr>
          <w:rFonts w:ascii="Arial" w:cs="Arial" w:eastAsia="Arial" w:hAnsi="Arial"/>
          <w:sz w:val="13"/>
          <w:szCs w:val="13"/>
          <w:color w:val="auto"/>
        </w:rPr>
      </w:pPr>
      <w:r>
        <w:rPr>
          <w:rFonts w:ascii="Arial" w:cs="Arial" w:eastAsia="Arial" w:hAnsi="Arial"/>
          <w:sz w:val="13"/>
          <w:szCs w:val="13"/>
          <w:color w:val="auto"/>
        </w:rPr>
        <w:t>a material breach of this Agreement by the Company which is not cured by the Company within 15 days of its receipt of written notice of the breach;</w:t>
      </w:r>
    </w:p>
    <w:p>
      <w:pPr>
        <w:spacing w:after="0" w:line="96" w:lineRule="exact"/>
        <w:rPr>
          <w:rFonts w:ascii="Arial" w:cs="Arial" w:eastAsia="Arial" w:hAnsi="Arial"/>
          <w:sz w:val="13"/>
          <w:szCs w:val="13"/>
          <w:color w:val="auto"/>
        </w:rPr>
      </w:pPr>
    </w:p>
    <w:p>
      <w:pPr>
        <w:ind w:left="1149" w:right="80" w:hanging="461"/>
        <w:spacing w:after="0" w:line="264" w:lineRule="auto"/>
        <w:tabs>
          <w:tab w:leader="none" w:pos="1149" w:val="left"/>
        </w:tabs>
        <w:numPr>
          <w:ilvl w:val="1"/>
          <w:numId w:val="47"/>
        </w:numPr>
        <w:rPr>
          <w:rFonts w:ascii="Arial" w:cs="Arial" w:eastAsia="Arial" w:hAnsi="Arial"/>
          <w:sz w:val="13"/>
          <w:szCs w:val="13"/>
          <w:color w:val="auto"/>
        </w:rPr>
      </w:pPr>
      <w:r>
        <w:rPr>
          <w:rFonts w:ascii="Arial" w:cs="Arial" w:eastAsia="Arial" w:hAnsi="Arial"/>
          <w:sz w:val="13"/>
          <w:szCs w:val="13"/>
          <w:color w:val="auto"/>
        </w:rPr>
        <w:t>during the one-year period following a Change in Control, the relocation by the Company of Executive’s office to a location more than forty (40) miles from Princeton, New Jersey, or, where Executive’s office is located other than at the Company’s headquarters in Plainsboro, New Jersey, to a location more than forty (40) miles from the location of Executive’s office on the date hereof;</w:t>
      </w:r>
    </w:p>
    <w:p>
      <w:pPr>
        <w:spacing w:after="0" w:line="66" w:lineRule="exact"/>
        <w:rPr>
          <w:rFonts w:ascii="Arial" w:cs="Arial" w:eastAsia="Arial" w:hAnsi="Arial"/>
          <w:sz w:val="13"/>
          <w:szCs w:val="13"/>
          <w:color w:val="auto"/>
        </w:rPr>
      </w:pPr>
    </w:p>
    <w:p>
      <w:pPr>
        <w:ind w:left="1149" w:hanging="461"/>
        <w:spacing w:after="0"/>
        <w:tabs>
          <w:tab w:leader="none" w:pos="1149"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the Company’s failure to obtain the assumption of this Agreement by any successor to the Company; or</w:t>
      </w:r>
    </w:p>
    <w:p>
      <w:pPr>
        <w:spacing w:after="0" w:line="96" w:lineRule="exact"/>
        <w:rPr>
          <w:rFonts w:ascii="Arial" w:cs="Arial" w:eastAsia="Arial" w:hAnsi="Arial"/>
          <w:sz w:val="13"/>
          <w:szCs w:val="13"/>
          <w:color w:val="auto"/>
        </w:rPr>
      </w:pPr>
    </w:p>
    <w:p>
      <w:pPr>
        <w:ind w:left="1149" w:hanging="461"/>
        <w:spacing w:after="0" w:line="264" w:lineRule="auto"/>
        <w:tabs>
          <w:tab w:leader="none" w:pos="1149" w:val="left"/>
        </w:tabs>
        <w:numPr>
          <w:ilvl w:val="1"/>
          <w:numId w:val="47"/>
        </w:numPr>
        <w:rPr>
          <w:rFonts w:ascii="Arial" w:cs="Arial" w:eastAsia="Arial" w:hAnsi="Arial"/>
          <w:sz w:val="13"/>
          <w:szCs w:val="13"/>
          <w:color w:val="auto"/>
        </w:rPr>
      </w:pPr>
      <w:r>
        <w:rPr>
          <w:rFonts w:ascii="Arial" w:cs="Arial" w:eastAsia="Arial" w:hAnsi="Arial"/>
          <w:sz w:val="13"/>
          <w:szCs w:val="13"/>
          <w:color w:val="auto"/>
        </w:rPr>
        <w:t>during the one-year period following a Change in Control, the Company, without Executive’s express written consent: (i) a reduction in Executive’s Base Salary, bonus opportunity (if applicable) or the aggregate fringe benefits provided to Executive; or (ii) a substantial alteration of Executive’s authority and/or title or other substantial diminution in the nature or status of Executive’s responsibilities in a manner reasonably construed to constitute a demotion.</w:t>
      </w:r>
    </w:p>
    <w:p>
      <w:pPr>
        <w:spacing w:after="0" w:line="57" w:lineRule="exact"/>
        <w:rPr>
          <w:sz w:val="20"/>
          <w:szCs w:val="20"/>
          <w:color w:val="auto"/>
        </w:rPr>
      </w:pPr>
    </w:p>
    <w:p>
      <w:pPr>
        <w:ind w:left="449" w:right="40"/>
        <w:spacing w:after="0" w:line="260" w:lineRule="auto"/>
        <w:rPr>
          <w:sz w:val="20"/>
          <w:szCs w:val="20"/>
          <w:color w:val="auto"/>
        </w:rPr>
      </w:pPr>
      <w:r>
        <w:rPr>
          <w:rFonts w:ascii="Arial" w:cs="Arial" w:eastAsia="Arial" w:hAnsi="Arial"/>
          <w:sz w:val="13"/>
          <w:szCs w:val="13"/>
          <w:color w:val="auto"/>
        </w:rPr>
        <w:t>Notwithstanding the foregoing, Executive will not be deemed to have resigned for Good Reason unless (1) Executive provides the Company with written notice setting forth in reasonable detail the facts and circumstances claimed by Executive to constitute Good Reason within 60 days after the date of the occurrence of any event that Executive knows or should reasonably have known constitutes Good Reason for voluntary termination, (2) the Company fails to cure such acts or omissions within 30 days of its actual receipt of such notice, and (3) the effective date of Executive’s termination for Good Reason occurs no later than 30 days after the expiration of the cure period.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9"/>
          </w:cols>
          <w:pgMar w:left="671" w:top="720" w:right="219" w:bottom="1440" w:gutter="0" w:footer="0" w:header="0"/>
        </w:sectPr>
      </w:pPr>
    </w:p>
    <w:bookmarkStart w:id="109" w:name="page110"/>
    <w:bookmarkEnd w:id="109"/>
    <w:p>
      <w:pPr>
        <w:ind w:left="900" w:right="420" w:hanging="449"/>
        <w:spacing w:after="0" w:line="276" w:lineRule="auto"/>
        <w:tabs>
          <w:tab w:leader="none" w:pos="900" w:val="left"/>
        </w:tabs>
        <w:numPr>
          <w:ilvl w:val="1"/>
          <w:numId w:val="4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Retirement</w:t>
      </w:r>
      <w:r>
        <w:rPr>
          <w:rFonts w:ascii="Arial" w:cs="Arial" w:eastAsia="Arial" w:hAnsi="Arial"/>
          <w:sz w:val="13"/>
          <w:szCs w:val="13"/>
          <w:color w:val="auto"/>
        </w:rPr>
        <w:t>” shall mean the termination of Executive’s employment with the Company in accordance with the retirement policies, including early retirement policies, generally applicable to the Company’s salaried employees.</w:t>
      </w:r>
    </w:p>
    <w:p>
      <w:pPr>
        <w:spacing w:after="0" w:line="59" w:lineRule="exact"/>
        <w:rPr>
          <w:rFonts w:ascii="Arial" w:cs="Arial" w:eastAsia="Arial" w:hAnsi="Arial"/>
          <w:sz w:val="13"/>
          <w:szCs w:val="13"/>
          <w:color w:val="auto"/>
        </w:rPr>
      </w:pPr>
    </w:p>
    <w:p>
      <w:pPr>
        <w:ind w:left="900" w:hanging="449"/>
        <w:spacing w:after="0"/>
        <w:tabs>
          <w:tab w:leader="none" w:pos="900" w:val="left"/>
        </w:tabs>
        <w:numPr>
          <w:ilvl w:val="1"/>
          <w:numId w:val="4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w:t>
      </w:r>
      <w:r>
        <w:rPr>
          <w:rFonts w:ascii="Arial" w:cs="Arial" w:eastAsia="Arial" w:hAnsi="Arial"/>
          <w:sz w:val="13"/>
          <w:szCs w:val="13"/>
          <w:color w:val="auto"/>
        </w:rPr>
        <w:t>” shall have the meaning set forth in Section 2 hereof.</w:t>
      </w:r>
    </w:p>
    <w:p>
      <w:pPr>
        <w:spacing w:after="0" w:line="96" w:lineRule="exact"/>
        <w:rPr>
          <w:rFonts w:ascii="Arial" w:cs="Arial" w:eastAsia="Arial" w:hAnsi="Arial"/>
          <w:sz w:val="13"/>
          <w:szCs w:val="13"/>
          <w:color w:val="auto"/>
        </w:rPr>
      </w:pPr>
    </w:p>
    <w:p>
      <w:pPr>
        <w:ind w:left="900" w:hanging="449"/>
        <w:spacing w:after="0"/>
        <w:tabs>
          <w:tab w:leader="none" w:pos="900" w:val="left"/>
        </w:tabs>
        <w:numPr>
          <w:ilvl w:val="1"/>
          <w:numId w:val="4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Date</w:t>
      </w:r>
      <w:r>
        <w:rPr>
          <w:rFonts w:ascii="Arial" w:cs="Arial" w:eastAsia="Arial" w:hAnsi="Arial"/>
          <w:sz w:val="13"/>
          <w:szCs w:val="13"/>
          <w:color w:val="auto"/>
        </w:rPr>
        <w:t>” shall mean the date on which Executive’s employment with the Company terminates, as specified in the Termination Notice.</w:t>
      </w:r>
    </w:p>
    <w:p>
      <w:pPr>
        <w:spacing w:after="0" w:line="96" w:lineRule="exact"/>
        <w:rPr>
          <w:rFonts w:ascii="Arial" w:cs="Arial" w:eastAsia="Arial" w:hAnsi="Arial"/>
          <w:sz w:val="13"/>
          <w:szCs w:val="13"/>
          <w:color w:val="auto"/>
        </w:rPr>
      </w:pPr>
    </w:p>
    <w:p>
      <w:pPr>
        <w:jc w:val="both"/>
        <w:ind w:left="900" w:right="680" w:hanging="449"/>
        <w:spacing w:after="0" w:line="264" w:lineRule="auto"/>
        <w:tabs>
          <w:tab w:leader="none" w:pos="900" w:val="left"/>
        </w:tabs>
        <w:numPr>
          <w:ilvl w:val="1"/>
          <w:numId w:val="4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Notice</w:t>
      </w:r>
      <w:r>
        <w:rPr>
          <w:rFonts w:ascii="Arial" w:cs="Arial" w:eastAsia="Arial" w:hAnsi="Arial"/>
          <w:sz w:val="13"/>
          <w:szCs w:val="13"/>
          <w:color w:val="auto"/>
        </w:rPr>
        <w:t>” shall mean a dated notice which: (i) indicates the specific termination provision in this Agreement relied upon (if any); (ii) sets forth in reasonable detail the facts and circumstances claimed to provide a basis for the termination of Executive’s employment under such provision; (iii) specifies a Termination Date; and (iv) is given in the manner specified in Section 16(i).</w:t>
      </w:r>
    </w:p>
    <w:p>
      <w:pPr>
        <w:spacing w:after="0" w:line="53" w:lineRule="exact"/>
        <w:rPr>
          <w:rFonts w:ascii="Arial" w:cs="Arial" w:eastAsia="Arial" w:hAnsi="Arial"/>
          <w:sz w:val="13"/>
          <w:szCs w:val="13"/>
          <w:color w:val="auto"/>
        </w:rPr>
      </w:pPr>
    </w:p>
    <w:p>
      <w:pPr>
        <w:jc w:val="both"/>
        <w:ind w:right="80" w:firstLine="162"/>
        <w:spacing w:after="0" w:line="267" w:lineRule="auto"/>
        <w:tabs>
          <w:tab w:leader="none" w:pos="295" w:val="left"/>
        </w:tabs>
        <w:numPr>
          <w:ilvl w:val="0"/>
          <w:numId w:val="49"/>
        </w:numPr>
        <w:rPr>
          <w:rFonts w:ascii="Arial" w:cs="Arial" w:eastAsia="Arial" w:hAnsi="Arial"/>
          <w:sz w:val="13"/>
          <w:szCs w:val="13"/>
          <w:color w:val="auto"/>
        </w:rPr>
      </w:pPr>
      <w:r>
        <w:rPr>
          <w:rFonts w:ascii="Arial" w:cs="Arial" w:eastAsia="Arial" w:hAnsi="Arial"/>
          <w:sz w:val="13"/>
          <w:szCs w:val="13"/>
          <w:b w:val="1"/>
          <w:bCs w:val="1"/>
          <w:u w:val="single" w:color="auto"/>
          <w:color w:val="auto"/>
        </w:rPr>
        <w:t>Term of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The term of this Agreement shall commence on the date hereof as first written above and shall terminate on December 31, 2011 (the “Term”), provided, that, notwithstanding any decision of</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not to extend this Agreement, this Agreement shall continue in effect for a period of 12 months beyond the date on which a Change in Control occurs if a Change in Control shall have occurred during the Term and while Executive is employed by the Company.</w:t>
      </w:r>
    </w:p>
    <w:p>
      <w:pPr>
        <w:spacing w:after="0" w:line="51" w:lineRule="exact"/>
        <w:rPr>
          <w:rFonts w:ascii="Arial" w:cs="Arial" w:eastAsia="Arial" w:hAnsi="Arial"/>
          <w:sz w:val="13"/>
          <w:szCs w:val="13"/>
          <w:color w:val="auto"/>
        </w:rPr>
      </w:pPr>
    </w:p>
    <w:p>
      <w:pPr>
        <w:ind w:left="300" w:hanging="138"/>
        <w:spacing w:after="0"/>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of Employment</w:t>
      </w:r>
      <w:r>
        <w:rPr>
          <w:rFonts w:ascii="Arial" w:cs="Arial" w:eastAsia="Arial" w:hAnsi="Arial"/>
          <w:sz w:val="13"/>
          <w:szCs w:val="13"/>
          <w:b w:val="1"/>
          <w:bCs w:val="1"/>
          <w:color w:val="auto"/>
        </w:rPr>
        <w:t>.</w:t>
      </w:r>
    </w:p>
    <w:p>
      <w:pPr>
        <w:spacing w:after="0" w:line="90" w:lineRule="exact"/>
        <w:rPr>
          <w:rFonts w:ascii="Arial" w:cs="Arial" w:eastAsia="Arial" w:hAnsi="Arial"/>
          <w:sz w:val="13"/>
          <w:szCs w:val="13"/>
          <w:color w:val="auto"/>
        </w:rPr>
      </w:pPr>
    </w:p>
    <w:p>
      <w:pPr>
        <w:ind w:left="900" w:right="60" w:hanging="449"/>
        <w:spacing w:after="0" w:line="264" w:lineRule="auto"/>
        <w:tabs>
          <w:tab w:leader="none" w:pos="900"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Prior to a Change in Control</w:t>
      </w:r>
      <w:r>
        <w:rPr>
          <w:rFonts w:ascii="Arial" w:cs="Arial" w:eastAsia="Arial" w:hAnsi="Arial"/>
          <w:sz w:val="13"/>
          <w:szCs w:val="13"/>
          <w:color w:val="auto"/>
        </w:rPr>
        <w:t>. Executive’s rights upon termination of employment prior to a Change in Control shall be governed by the Company’s standard employment termination policies and practices applicable to Executive in effect at the time of termination or, if applicable, any written employment agreement between the Company and Executive other than this Agreement in effect at the time of termination.</w:t>
      </w:r>
    </w:p>
    <w:p>
      <w:pPr>
        <w:spacing w:after="0" w:line="66" w:lineRule="exact"/>
        <w:rPr>
          <w:rFonts w:ascii="Arial" w:cs="Arial" w:eastAsia="Arial" w:hAnsi="Arial"/>
          <w:sz w:val="13"/>
          <w:szCs w:val="13"/>
          <w:color w:val="auto"/>
        </w:rPr>
      </w:pPr>
    </w:p>
    <w:p>
      <w:pPr>
        <w:ind w:left="900" w:hanging="449"/>
        <w:spacing w:after="0"/>
        <w:tabs>
          <w:tab w:leader="none" w:pos="900"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After a Change in Control</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360" w:right="40" w:hanging="447"/>
        <w:spacing w:after="0" w:line="276" w:lineRule="auto"/>
        <w:tabs>
          <w:tab w:leader="none" w:pos="1360" w:val="left"/>
        </w:tabs>
        <w:numPr>
          <w:ilvl w:val="2"/>
          <w:numId w:val="49"/>
        </w:numPr>
        <w:rPr>
          <w:rFonts w:ascii="Arial" w:cs="Arial" w:eastAsia="Arial" w:hAnsi="Arial"/>
          <w:sz w:val="13"/>
          <w:szCs w:val="13"/>
          <w:color w:val="auto"/>
        </w:rPr>
      </w:pPr>
      <w:r>
        <w:rPr>
          <w:rFonts w:ascii="Arial" w:cs="Arial" w:eastAsia="Arial" w:hAnsi="Arial"/>
          <w:sz w:val="13"/>
          <w:szCs w:val="13"/>
          <w:color w:val="auto"/>
        </w:rPr>
        <w:t>From and after the date of a Change in Control during the Term, the Company shall not terminate Executive from employment with the Company except as provided in this Section 3(b) or as a result of Executive’s Disability, Retirement or death.</w:t>
      </w:r>
    </w:p>
    <w:p>
      <w:pPr>
        <w:spacing w:after="0" w:line="59" w:lineRule="exact"/>
        <w:rPr>
          <w:rFonts w:ascii="Arial" w:cs="Arial" w:eastAsia="Arial" w:hAnsi="Arial"/>
          <w:sz w:val="13"/>
          <w:szCs w:val="13"/>
          <w:color w:val="auto"/>
        </w:rPr>
      </w:pPr>
    </w:p>
    <w:p>
      <w:pPr>
        <w:ind w:left="1360" w:right="100" w:hanging="447"/>
        <w:spacing w:after="0" w:line="276" w:lineRule="auto"/>
        <w:tabs>
          <w:tab w:leader="none" w:pos="1360" w:val="left"/>
        </w:tabs>
        <w:numPr>
          <w:ilvl w:val="2"/>
          <w:numId w:val="49"/>
        </w:numPr>
        <w:rPr>
          <w:rFonts w:ascii="Arial" w:cs="Arial" w:eastAsia="Arial" w:hAnsi="Arial"/>
          <w:sz w:val="13"/>
          <w:szCs w:val="13"/>
          <w:color w:val="auto"/>
        </w:rPr>
      </w:pPr>
      <w:r>
        <w:rPr>
          <w:rFonts w:ascii="Arial" w:cs="Arial" w:eastAsia="Arial" w:hAnsi="Arial"/>
          <w:sz w:val="13"/>
          <w:szCs w:val="13"/>
          <w:color w:val="auto"/>
        </w:rPr>
        <w:t>From and after the date of a Change in Control during the Term, the Company shall have the right to terminate Executive from employment with the Company at any time during the Term for Cause, by written notice to Executive, specifying the particulars of the conduct of Executive forming the basis for such termination.</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110" w:name="page111"/>
    <w:bookmarkEnd w:id="110"/>
    <w:p>
      <w:pPr>
        <w:ind w:left="1200" w:right="160" w:hanging="447"/>
        <w:spacing w:after="0" w:line="276" w:lineRule="auto"/>
        <w:tabs>
          <w:tab w:leader="none" w:pos="1200" w:val="left"/>
        </w:tabs>
        <w:numPr>
          <w:ilvl w:val="2"/>
          <w:numId w:val="50"/>
        </w:numPr>
        <w:rPr>
          <w:rFonts w:ascii="Arial" w:cs="Arial" w:eastAsia="Arial" w:hAnsi="Arial"/>
          <w:sz w:val="13"/>
          <w:szCs w:val="13"/>
          <w:color w:val="auto"/>
        </w:rPr>
      </w:pPr>
      <w:r>
        <w:rPr>
          <w:rFonts w:ascii="Arial" w:cs="Arial" w:eastAsia="Arial" w:hAnsi="Arial"/>
          <w:sz w:val="13"/>
          <w:szCs w:val="13"/>
          <w:color w:val="auto"/>
        </w:rPr>
        <w:t>From and after the date of a Change in Control during the Term, subject to Section 4 below: (x) the Company shall have the right to terminate Executive’s employment without Cause, at any time; and (y) Executive shall have the right to voluntarily terminate his employment for Good Reason.</w:t>
      </w:r>
    </w:p>
    <w:p>
      <w:pPr>
        <w:spacing w:after="0" w:line="45" w:lineRule="exact"/>
        <w:rPr>
          <w:rFonts w:ascii="Arial" w:cs="Arial" w:eastAsia="Arial" w:hAnsi="Arial"/>
          <w:sz w:val="13"/>
          <w:szCs w:val="13"/>
          <w:color w:val="auto"/>
        </w:rPr>
      </w:pPr>
    </w:p>
    <w:p>
      <w:pPr>
        <w:ind w:left="140" w:hanging="138"/>
        <w:spacing w:after="0"/>
        <w:tabs>
          <w:tab w:leader="none" w:pos="140" w:val="left"/>
        </w:tabs>
        <w:numPr>
          <w:ilvl w:val="0"/>
          <w:numId w:val="51"/>
        </w:numPr>
        <w:rPr>
          <w:rFonts w:ascii="Arial" w:cs="Arial" w:eastAsia="Arial" w:hAnsi="Arial"/>
          <w:sz w:val="13"/>
          <w:szCs w:val="13"/>
          <w:color w:val="auto"/>
        </w:rPr>
      </w:pPr>
      <w:r>
        <w:rPr>
          <w:rFonts w:ascii="Arial" w:cs="Arial" w:eastAsia="Arial" w:hAnsi="Arial"/>
          <w:sz w:val="13"/>
          <w:szCs w:val="13"/>
          <w:b w:val="1"/>
          <w:bCs w:val="1"/>
          <w:u w:val="single" w:color="auto"/>
          <w:color w:val="auto"/>
        </w:rPr>
        <w:t>Payments Upon Termination of Employment</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left="740" w:hanging="449"/>
        <w:spacing w:after="0"/>
        <w:tabs>
          <w:tab w:leader="none" w:pos="740" w:val="left"/>
        </w:tabs>
        <w:numPr>
          <w:ilvl w:val="1"/>
          <w:numId w:val="51"/>
        </w:numPr>
        <w:rPr>
          <w:rFonts w:ascii="Arial" w:cs="Arial" w:eastAsia="Arial" w:hAnsi="Arial"/>
          <w:sz w:val="12"/>
          <w:szCs w:val="12"/>
          <w:color w:val="auto"/>
        </w:rPr>
      </w:pPr>
      <w:r>
        <w:rPr>
          <w:rFonts w:ascii="Arial" w:cs="Arial" w:eastAsia="Arial" w:hAnsi="Arial"/>
          <w:sz w:val="12"/>
          <w:szCs w:val="12"/>
          <w:color w:val="auto"/>
        </w:rPr>
        <w:t>As consideration for the restrictive covenants contained in Section 5, in the event that within twelve months of a Change in Control (i) Executive terminates his employment for Good Reason, or</w:t>
      </w:r>
    </w:p>
    <w:p>
      <w:pPr>
        <w:spacing w:after="0" w:line="26" w:lineRule="exact"/>
        <w:rPr>
          <w:rFonts w:ascii="Arial" w:cs="Arial" w:eastAsia="Arial" w:hAnsi="Arial"/>
          <w:sz w:val="12"/>
          <w:szCs w:val="12"/>
          <w:color w:val="auto"/>
        </w:rPr>
      </w:pPr>
    </w:p>
    <w:p>
      <w:pPr>
        <w:ind w:left="940" w:hanging="197"/>
        <w:spacing w:after="0"/>
        <w:tabs>
          <w:tab w:leader="none" w:pos="940" w:val="left"/>
        </w:tabs>
        <w:numPr>
          <w:ilvl w:val="2"/>
          <w:numId w:val="51"/>
        </w:numPr>
        <w:rPr>
          <w:rFonts w:ascii="Arial" w:cs="Arial" w:eastAsia="Arial" w:hAnsi="Arial"/>
          <w:sz w:val="13"/>
          <w:szCs w:val="13"/>
          <w:color w:val="auto"/>
        </w:rPr>
      </w:pPr>
      <w:r>
        <w:rPr>
          <w:rFonts w:ascii="Arial" w:cs="Arial" w:eastAsia="Arial" w:hAnsi="Arial"/>
          <w:sz w:val="13"/>
          <w:szCs w:val="13"/>
          <w:color w:val="auto"/>
        </w:rPr>
        <w:t>Executive’s employment is terminated by the Company for a reason other than Retirement, Disability, death or Cause, then the Company shall:</w:t>
      </w:r>
    </w:p>
    <w:p>
      <w:pPr>
        <w:spacing w:after="0" w:line="79" w:lineRule="exact"/>
        <w:rPr>
          <w:sz w:val="20"/>
          <w:szCs w:val="20"/>
          <w:color w:val="auto"/>
        </w:rPr>
      </w:pPr>
    </w:p>
    <w:p>
      <w:pPr>
        <w:ind w:left="1200" w:right="200" w:hanging="447"/>
        <w:spacing w:after="0" w:line="276" w:lineRule="auto"/>
        <w:tabs>
          <w:tab w:leader="none" w:pos="12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pay Executive a lump-sum severance amount equal to Executive’s annual Base Salary (determined without regard to any reduction that would give rise to Good Reason) as of his last day of active employment; the severance amount shall be paid in a single sum on the first business day of the month following the Termination Date; and</w:t>
      </w:r>
    </w:p>
    <w:p>
      <w:pPr>
        <w:spacing w:after="0" w:line="59" w:lineRule="exact"/>
        <w:rPr>
          <w:rFonts w:ascii="Arial" w:cs="Arial" w:eastAsia="Arial" w:hAnsi="Arial"/>
          <w:sz w:val="13"/>
          <w:szCs w:val="13"/>
          <w:color w:val="auto"/>
        </w:rPr>
      </w:pPr>
    </w:p>
    <w:p>
      <w:pPr>
        <w:ind w:left="1200" w:hanging="447"/>
        <w:spacing w:after="0"/>
        <w:tabs>
          <w:tab w:leader="none" w:pos="12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maintain and provide to Executive, for a period commencing on the Termination Date and ending on the earlier of (A) the end of the twelfth month after the Termination Date, or</w:t>
      </w:r>
    </w:p>
    <w:p>
      <w:pPr>
        <w:spacing w:after="0" w:line="15" w:lineRule="exact"/>
        <w:rPr>
          <w:rFonts w:ascii="Arial" w:cs="Arial" w:eastAsia="Arial" w:hAnsi="Arial"/>
          <w:sz w:val="13"/>
          <w:szCs w:val="13"/>
          <w:color w:val="auto"/>
        </w:rPr>
      </w:pPr>
    </w:p>
    <w:p>
      <w:pPr>
        <w:ind w:left="1200" w:right="20"/>
        <w:spacing w:after="0" w:line="278" w:lineRule="auto"/>
        <w:rPr>
          <w:rFonts w:ascii="Arial" w:cs="Arial" w:eastAsia="Arial" w:hAnsi="Arial"/>
          <w:sz w:val="13"/>
          <w:szCs w:val="13"/>
          <w:color w:val="auto"/>
        </w:rPr>
      </w:pPr>
      <w:r>
        <w:rPr>
          <w:rFonts w:ascii="Arial" w:cs="Arial" w:eastAsia="Arial" w:hAnsi="Arial"/>
          <w:sz w:val="12"/>
          <w:szCs w:val="12"/>
          <w:color w:val="auto"/>
        </w:rPr>
        <w:t>(B) Executive’s death, continued health coverage in the plan in which Executive was participating immediately prior to the Termination Date; provided that the continuation of such coverage is not prohibited by the terms of the plan or by the Company for legal reasons; and provided further, that in order to receive such continued coverage, Executive shall be required to pay to the Company at the same time that premium payments are due for the month an amount equal to the full monthly premium payments required to pay for such coverage and the Company shall reimburse to Executive the amount of such monthly premium, less the amount that Executive was required to pay for such coverage immediately prior to the Termination Date (the “Health Payment”), no later than the next payroll date of the Company that occurs after the date the premium for the month is paid by Executive</w:t>
      </w:r>
      <w:r>
        <w:rPr>
          <w:rFonts w:ascii="Arial" w:cs="Arial" w:eastAsia="Arial" w:hAnsi="Arial"/>
          <w:sz w:val="12"/>
          <w:szCs w:val="12"/>
          <w:b w:val="1"/>
          <w:bCs w:val="1"/>
          <w:color w:val="auto"/>
        </w:rPr>
        <w:t>.</w:t>
      </w:r>
      <w:r>
        <w:rPr>
          <w:rFonts w:ascii="Arial" w:cs="Arial" w:eastAsia="Arial" w:hAnsi="Arial"/>
          <w:sz w:val="12"/>
          <w:szCs w:val="12"/>
          <w:color w:val="auto"/>
        </w:rPr>
        <w:t xml:space="preserve"> In addition, on each date on which the monthly Health Payments are made, the Company shall pay to Executive an additional amount equal to the federal, state and local income and payroll taxes that Executive incurs on each monthly Health Payment (the “Health Gross-up Payment”). The Health Payment and the Health Gross-up Payment shall be reimbursed to Executive in a manner that complies with the requirements of Treas. Reg. §1.409A-3(i)(1)(iv), and in no event will the Health Gross-up Payment be paid to Executive later than the end of the calendar year following that in which Executive</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111" w:name="page112"/>
    <w:bookmarkEnd w:id="111"/>
    <w:p>
      <w:pPr>
        <w:ind w:left="447"/>
        <w:spacing w:after="0"/>
        <w:rPr>
          <w:sz w:val="20"/>
          <w:szCs w:val="20"/>
          <w:color w:val="auto"/>
        </w:rPr>
      </w:pPr>
      <w:r>
        <w:rPr>
          <w:rFonts w:ascii="Arial" w:cs="Arial" w:eastAsia="Arial" w:hAnsi="Arial"/>
          <w:sz w:val="13"/>
          <w:szCs w:val="13"/>
          <w:color w:val="auto"/>
        </w:rPr>
        <w:t>remits the underlying taxes incurred by the Executive on the applicable Health Payment; and</w:t>
      </w:r>
    </w:p>
    <w:p>
      <w:pPr>
        <w:spacing w:after="0" w:line="96" w:lineRule="exact"/>
        <w:rPr>
          <w:sz w:val="20"/>
          <w:szCs w:val="20"/>
          <w:color w:val="auto"/>
        </w:rPr>
      </w:pPr>
    </w:p>
    <w:p>
      <w:pPr>
        <w:jc w:val="both"/>
        <w:ind w:left="447" w:right="40" w:hanging="447"/>
        <w:spacing w:after="0" w:line="264" w:lineRule="auto"/>
        <w:tabs>
          <w:tab w:leader="none" w:pos="447" w:val="left"/>
        </w:tabs>
        <w:numPr>
          <w:ilvl w:val="0"/>
          <w:numId w:val="53"/>
        </w:numPr>
        <w:rPr>
          <w:rFonts w:ascii="Arial" w:cs="Arial" w:eastAsia="Arial" w:hAnsi="Arial"/>
          <w:sz w:val="13"/>
          <w:szCs w:val="13"/>
          <w:color w:val="auto"/>
        </w:rPr>
      </w:pPr>
      <w:r>
        <w:rPr>
          <w:rFonts w:ascii="Arial" w:cs="Arial" w:eastAsia="Arial" w:hAnsi="Arial"/>
          <w:sz w:val="13"/>
          <w:szCs w:val="13"/>
          <w:color w:val="auto"/>
        </w:rPr>
        <w:t>pay to Executive a lump sum cash payment within thirty (30) days following Executive’s Termination Date equal to the premium cost of continuing the life and disability insurance in effect on Executive’s Termination Date for the period ending on the end of the twelfth month after the Termination Date; provided that the continuation of such benefits is not prohibited by the terms of the plan or by the Company for legal reasons.</w:t>
      </w:r>
    </w:p>
    <w:p>
      <w:pPr>
        <w:spacing w:after="0" w:line="66" w:lineRule="exact"/>
        <w:rPr>
          <w:rFonts w:ascii="Arial" w:cs="Arial" w:eastAsia="Arial" w:hAnsi="Arial"/>
          <w:sz w:val="13"/>
          <w:szCs w:val="13"/>
          <w:color w:val="auto"/>
        </w:rPr>
      </w:pPr>
    </w:p>
    <w:p>
      <w:pPr>
        <w:ind w:left="447" w:hanging="447"/>
        <w:spacing w:after="0" w:line="299" w:lineRule="auto"/>
        <w:tabs>
          <w:tab w:leader="none" w:pos="447" w:val="left"/>
        </w:tabs>
        <w:numPr>
          <w:ilvl w:val="0"/>
          <w:numId w:val="53"/>
        </w:numPr>
        <w:rPr>
          <w:rFonts w:ascii="Arial" w:cs="Arial" w:eastAsia="Arial" w:hAnsi="Arial"/>
          <w:sz w:val="11"/>
          <w:szCs w:val="11"/>
          <w:color w:val="auto"/>
        </w:rPr>
      </w:pPr>
      <w:r>
        <w:rPr>
          <w:rFonts w:ascii="Arial" w:cs="Arial" w:eastAsia="Arial" w:hAnsi="Arial"/>
          <w:sz w:val="11"/>
          <w:szCs w:val="11"/>
          <w:color w:val="auto"/>
        </w:rPr>
        <w:t>If any payment or benefit to Executive under this Agreement would be considered a “parachute payment” within the meaning of Section 280G(b)(2) of the Code and, if, after reduction for any applicable federal excise tax imposed by Section 4999 of the Code (the “Excise Tax”) and federal income tax imposed by the Code, Executive’s net proceeds of the amounts payable and the benefits provided under this Agreement would be less than the amount of Executive’s net proceeds resulting from the payment of the Reduced Amount described below, after reduction for federal income taxes, then the amount payable and the benefits provided under this Agreement shall be limited to the Reduced Amount. The “Reduced Amount” shall be the largest amount that could be received by Executive under this Agreement such that no amount paid to Executive under this Agreement and any other agreement, contract or understanding heretofore or hereafter entered into between Executive and the Company (the “Other Agreements”) and any formal or informal plan or other arrangement heretofore or hereafter adopted by the Company for the direct or indirect provision of compensation to Executive (including groups or classes of participants or beneficiaries of which Executive is a member), whether or not such compensation is deferred, is in cash, or is in the form of a benefit to or for Executive (a “Benefit Plan”) would be subject to the Excise Tax. In the event that the amount payable to Executive shall be limited to the Reduced Amount, then, first non-cash benefits that are not equity-based shall be reduced, then equity award vesting acceleration and next new equity award grants shall be reduced, followed by a reduction of cash payments, including without limitation the severance amounts set forth in Section 4, beginning with payments that would be made last in time, in all cases,</w:t>
      </w:r>
    </w:p>
    <w:p>
      <w:pPr>
        <w:spacing w:after="0" w:line="4" w:lineRule="exact"/>
        <w:rPr>
          <w:rFonts w:ascii="Arial" w:cs="Arial" w:eastAsia="Arial" w:hAnsi="Arial"/>
          <w:sz w:val="11"/>
          <w:szCs w:val="11"/>
          <w:color w:val="auto"/>
        </w:rPr>
      </w:pPr>
    </w:p>
    <w:p>
      <w:pPr>
        <w:ind w:left="447" w:right="40" w:firstLine="5"/>
        <w:spacing w:after="0" w:line="307" w:lineRule="auto"/>
        <w:tabs>
          <w:tab w:leader="none" w:pos="662" w:val="left"/>
        </w:tabs>
        <w:numPr>
          <w:ilvl w:val="1"/>
          <w:numId w:val="53"/>
        </w:numPr>
        <w:rPr>
          <w:rFonts w:ascii="Arial" w:cs="Arial" w:eastAsia="Arial" w:hAnsi="Arial"/>
          <w:sz w:val="12"/>
          <w:szCs w:val="12"/>
          <w:color w:val="auto"/>
        </w:rPr>
      </w:pPr>
      <w:r>
        <w:rPr>
          <w:rFonts w:ascii="Arial" w:cs="Arial" w:eastAsia="Arial" w:hAnsi="Arial"/>
          <w:sz w:val="12"/>
          <w:szCs w:val="12"/>
          <w:color w:val="auto"/>
        </w:rPr>
        <w:t>if and to the extent not already provided, accelerated, granted or paid, as applicable, prior to the date of such reduction, (B) only to the least extent necessary so that no portion thereof shall be subject to the Excise Tax, (C) in a manner that results in the best economic benefit to Executive, and (D) to the extent economically equivalent, in a pro rata manner.</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7"/>
          </w:cols>
          <w:pgMar w:left="1133" w:top="720" w:right="219" w:bottom="1440" w:gutter="0" w:footer="0" w:header="0"/>
        </w:sectPr>
      </w:pPr>
    </w:p>
    <w:bookmarkStart w:id="112" w:name="page113"/>
    <w:bookmarkEnd w:id="112"/>
    <w:p>
      <w:pPr>
        <w:ind w:left="1361" w:right="100" w:hanging="447"/>
        <w:spacing w:after="0" w:line="255" w:lineRule="auto"/>
        <w:tabs>
          <w:tab w:leader="none" w:pos="1361" w:val="left"/>
        </w:tabs>
        <w:numPr>
          <w:ilvl w:val="2"/>
          <w:numId w:val="54"/>
        </w:numPr>
        <w:rPr>
          <w:rFonts w:ascii="Arial" w:cs="Arial" w:eastAsia="Arial" w:hAnsi="Arial"/>
          <w:sz w:val="13"/>
          <w:szCs w:val="13"/>
          <w:color w:val="auto"/>
        </w:rPr>
      </w:pPr>
      <w:r>
        <w:rPr>
          <w:rFonts w:ascii="Arial" w:cs="Arial" w:eastAsia="Arial" w:hAnsi="Arial"/>
          <w:sz w:val="13"/>
          <w:szCs w:val="13"/>
          <w:color w:val="auto"/>
        </w:rPr>
        <w:t>Notwithstanding any provision to the contrary herein, if at the time of Executive’s termination of employment the Company’s stock is publicly traded and Executive is a “specified employee” (as such term is defined in Section 409A(2)(B)(i) of the Code and its corresponding regulations), then, to the extent that paying such amounts at the time or times indicated in this Agreement would be a prohibited distribution under Section 409A(a)(2)(B)(i) of the Code, all payments to Executive pursuant to this Section 4(a) that are deemed as deferred compensation subject to the requirements of Section 409A of the Code shall not be paid to Executive until as soon as administratively practicable following the expiration of the six month period following the date of Executive’s Termination Date, but not later than the first Company payroll date that occurs after the end of such six month period. If Executive dies during such six-month period and prior to the payment of the postponed amounts hereunder, the amounts withheld on account of Section 409A of the Code shall be paid to the personal representative of Executive’s estate within thirty (30) days after the date of Executive’s death. If any of the payments payable pursuant to this Section 4(a) are deferred due to such requirements, there shall be added to such payments interest during the deferral period at a rate, per annum, equal to the applicable federal short-term deferral rate (compounded monthly) in effect under Section 1274(d) of the Code on Executive’s Termination Date.</w:t>
      </w:r>
    </w:p>
    <w:p>
      <w:pPr>
        <w:spacing w:after="0" w:line="64" w:lineRule="exact"/>
        <w:rPr>
          <w:rFonts w:ascii="Arial" w:cs="Arial" w:eastAsia="Arial" w:hAnsi="Arial"/>
          <w:sz w:val="13"/>
          <w:szCs w:val="13"/>
          <w:color w:val="auto"/>
        </w:rPr>
      </w:pPr>
    </w:p>
    <w:p>
      <w:pPr>
        <w:ind w:left="681" w:right="180" w:hanging="455"/>
        <w:spacing w:after="0" w:line="264" w:lineRule="auto"/>
        <w:tabs>
          <w:tab w:leader="none" w:pos="681" w:val="left"/>
        </w:tabs>
        <w:numPr>
          <w:ilvl w:val="1"/>
          <w:numId w:val="55"/>
        </w:numPr>
        <w:rPr>
          <w:rFonts w:ascii="Arial" w:cs="Arial" w:eastAsia="Arial" w:hAnsi="Arial"/>
          <w:sz w:val="13"/>
          <w:szCs w:val="13"/>
          <w:color w:val="auto"/>
        </w:rPr>
      </w:pPr>
      <w:r>
        <w:rPr>
          <w:rFonts w:ascii="Arial" w:cs="Arial" w:eastAsia="Arial" w:hAnsi="Arial"/>
          <w:sz w:val="13"/>
          <w:szCs w:val="13"/>
          <w:u w:val="single" w:color="auto"/>
          <w:color w:val="auto"/>
        </w:rPr>
        <w:t>Other Termination</w:t>
      </w:r>
      <w:r>
        <w:rPr>
          <w:rFonts w:ascii="Arial" w:cs="Arial" w:eastAsia="Arial" w:hAnsi="Arial"/>
          <w:sz w:val="13"/>
          <w:szCs w:val="13"/>
          <w:color w:val="auto"/>
        </w:rPr>
        <w:t>. In the event that Executive’s employment terminates other than as set forth in Section 4(a), Executive’s rights upon termination shall be governed by the Company’s standard employment termination policies and practices applicable to Executive in effect at the time of termination or, if applicable, any written employment agreement between the Company and Executive other than this Agreement in effect at the time of termination.</w:t>
      </w:r>
    </w:p>
    <w:p>
      <w:pPr>
        <w:spacing w:after="0" w:line="66" w:lineRule="exact"/>
        <w:rPr>
          <w:rFonts w:ascii="Arial" w:cs="Arial" w:eastAsia="Arial" w:hAnsi="Arial"/>
          <w:sz w:val="13"/>
          <w:szCs w:val="13"/>
          <w:color w:val="auto"/>
        </w:rPr>
      </w:pPr>
    </w:p>
    <w:p>
      <w:pPr>
        <w:ind w:left="681" w:hanging="455"/>
        <w:spacing w:after="0"/>
        <w:tabs>
          <w:tab w:leader="none" w:pos="681" w:val="left"/>
        </w:tabs>
        <w:numPr>
          <w:ilvl w:val="1"/>
          <w:numId w:val="55"/>
        </w:numPr>
        <w:rPr>
          <w:rFonts w:ascii="Arial" w:cs="Arial" w:eastAsia="Arial" w:hAnsi="Arial"/>
          <w:sz w:val="13"/>
          <w:szCs w:val="13"/>
          <w:color w:val="auto"/>
        </w:rPr>
      </w:pPr>
      <w:r>
        <w:rPr>
          <w:rFonts w:ascii="Arial" w:cs="Arial" w:eastAsia="Arial" w:hAnsi="Arial"/>
          <w:sz w:val="13"/>
          <w:szCs w:val="13"/>
          <w:u w:val="single" w:color="auto"/>
          <w:color w:val="auto"/>
        </w:rPr>
        <w:t>Termination Notice</w:t>
      </w:r>
      <w:r>
        <w:rPr>
          <w:rFonts w:ascii="Arial" w:cs="Arial" w:eastAsia="Arial" w:hAnsi="Arial"/>
          <w:sz w:val="13"/>
          <w:szCs w:val="13"/>
          <w:color w:val="auto"/>
        </w:rPr>
        <w:t>. Except in the event of Executive’s death, a termination under this Agreement shall be effected by means of a Termination Notice.</w:t>
      </w:r>
    </w:p>
    <w:p>
      <w:pPr>
        <w:spacing w:after="0" w:line="82" w:lineRule="exact"/>
        <w:rPr>
          <w:rFonts w:ascii="Arial" w:cs="Arial" w:eastAsia="Arial" w:hAnsi="Arial"/>
          <w:sz w:val="13"/>
          <w:szCs w:val="13"/>
          <w:color w:val="auto"/>
        </w:rPr>
      </w:pPr>
    </w:p>
    <w:p>
      <w:pPr>
        <w:ind w:left="221" w:hanging="221"/>
        <w:spacing w:after="0"/>
        <w:tabs>
          <w:tab w:leader="none" w:pos="221" w:val="left"/>
        </w:tabs>
        <w:numPr>
          <w:ilvl w:val="0"/>
          <w:numId w:val="56"/>
        </w:numPr>
        <w:rPr>
          <w:rFonts w:ascii="Arial" w:cs="Arial" w:eastAsia="Arial" w:hAnsi="Arial"/>
          <w:sz w:val="13"/>
          <w:szCs w:val="13"/>
          <w:color w:val="auto"/>
        </w:rPr>
      </w:pPr>
      <w:r>
        <w:rPr>
          <w:rFonts w:ascii="Arial" w:cs="Arial" w:eastAsia="Arial" w:hAnsi="Arial"/>
          <w:sz w:val="13"/>
          <w:szCs w:val="13"/>
          <w:b w:val="1"/>
          <w:bCs w:val="1"/>
          <w:u w:val="single" w:color="auto"/>
          <w:color w:val="auto"/>
        </w:rPr>
        <w:t>Restrictive Covenants</w:t>
      </w:r>
      <w:r>
        <w:rPr>
          <w:rFonts w:ascii="Arial" w:cs="Arial" w:eastAsia="Arial" w:hAnsi="Arial"/>
          <w:sz w:val="13"/>
          <w:szCs w:val="13"/>
          <w:b w:val="1"/>
          <w:bCs w:val="1"/>
          <w:color w:val="auto"/>
        </w:rPr>
        <w:t>.</w:t>
      </w:r>
    </w:p>
    <w:p>
      <w:pPr>
        <w:spacing w:after="0" w:line="90" w:lineRule="exact"/>
        <w:rPr>
          <w:rFonts w:ascii="Arial" w:cs="Arial" w:eastAsia="Arial" w:hAnsi="Arial"/>
          <w:sz w:val="13"/>
          <w:szCs w:val="13"/>
          <w:color w:val="auto"/>
        </w:rPr>
      </w:pPr>
    </w:p>
    <w:p>
      <w:pPr>
        <w:ind w:left="681" w:right="80" w:hanging="455"/>
        <w:spacing w:after="0" w:line="296" w:lineRule="auto"/>
        <w:tabs>
          <w:tab w:leader="none" w:pos="681" w:val="left"/>
        </w:tabs>
        <w:numPr>
          <w:ilvl w:val="1"/>
          <w:numId w:val="56"/>
        </w:numPr>
        <w:rPr>
          <w:rFonts w:ascii="Arial" w:cs="Arial" w:eastAsia="Arial" w:hAnsi="Arial"/>
          <w:sz w:val="12"/>
          <w:szCs w:val="12"/>
          <w:color w:val="auto"/>
        </w:rPr>
      </w:pPr>
      <w:r>
        <w:rPr>
          <w:rFonts w:ascii="Arial" w:cs="Arial" w:eastAsia="Arial" w:hAnsi="Arial"/>
          <w:sz w:val="12"/>
          <w:szCs w:val="12"/>
          <w:u w:val="single" w:color="auto"/>
          <w:color w:val="auto"/>
        </w:rPr>
        <w:t>Covenant Not to Compete</w:t>
      </w:r>
      <w:r>
        <w:rPr>
          <w:rFonts w:ascii="Arial" w:cs="Arial" w:eastAsia="Arial" w:hAnsi="Arial"/>
          <w:sz w:val="12"/>
          <w:szCs w:val="12"/>
          <w:color w:val="auto"/>
        </w:rPr>
        <w:t>. During the Term and for a period of one year following the Termination Date of Executive’s employment, Executive shall not, without the express written consent of the Company, directly or indirectly: (I) engage, anywhere within the geographical areas in which the Company is conducting business operations or providing services as of the date of Executive’s termination of employment, in the tissue engineering business (the use of implantable absorbable materials, with or without a bioactive component, to attempt to elicit a specific cellular</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3" w:name="page114"/>
    <w:bookmarkEnd w:id="113"/>
    <w:p>
      <w:pPr>
        <w:ind w:left="460" w:right="20"/>
        <w:spacing w:after="0" w:line="277" w:lineRule="auto"/>
        <w:rPr>
          <w:sz w:val="20"/>
          <w:szCs w:val="20"/>
          <w:color w:val="auto"/>
        </w:rPr>
      </w:pPr>
      <w:r>
        <w:rPr>
          <w:rFonts w:ascii="Arial" w:cs="Arial" w:eastAsia="Arial" w:hAnsi="Arial"/>
          <w:sz w:val="12"/>
          <w:szCs w:val="12"/>
          <w:color w:val="auto"/>
        </w:rPr>
        <w:t>response in order to regenerate tissue or to impede the growth of tissue or migration of cells) (the “Tissue Engineering Business”), neurosurgery business (the use of surgical instruments, implants, monitoring products or disposable products to treat the brain or central nervous system) (“Neurosurgery Business”), instrument business (general surgical handheld instruments used for general purposes in surgical procedures) (“Instrument Business”), reconstruction business (bone fixation devices for foot and ankle reconstruction procedures) (“Reconstruction Business”) or in any other line of business the revenues of which constituted at least 50% of the Company’s revenues during the six (6) month period prior to the Termination Date (together with the Tissue Engineering Business, Neurosurgery Business, Instrument Business and Reconstruction Business, the “Business”); (II) be or become a stockholder, partner, owner, officer, director or employee or agent of, or a consultant to or give financial or other assistance to, any person or entity engaged in the Business; (III) seek in competition with the Business to procure orders from or do business with any customer of the Company; (IV) solicit, or contact with a view to the engagement or employment by any person or entity of, any person who is an employee of the Company; (V) seek to contract with or engage (in such a way as to adversely affect or interfere with the business of the Company) any person or entity who has been contracted with or engaged to manufacture, assemble, supply or deliver products, goods, materials or services to the Company; or (VI) engage in or participate in any effort or act to induce any of the customers, associates, consultants, or employees of the Company to take any action which might be disadvantageous to the Company; provided, however, that nothing herein shall prohibit Executive and his affiliates from owning, as passive investors, in the aggregate not more than 5% of the outstanding publicly traded stock of any corporation so engaged and provided, further, however, that nothing set forth in this Section 5(a) shall prohibit Executive from becoming an employee or agent of, or consultant to, any entity that is engaged in the Business so long as Executive does not engage in any activities in the Business in any capacity for said entity.</w:t>
      </w:r>
    </w:p>
    <w:p>
      <w:pPr>
        <w:spacing w:after="0" w:line="65" w:lineRule="exact"/>
        <w:rPr>
          <w:sz w:val="20"/>
          <w:szCs w:val="20"/>
          <w:color w:val="auto"/>
        </w:rPr>
      </w:pPr>
    </w:p>
    <w:p>
      <w:pPr>
        <w:ind w:left="460" w:right="20" w:hanging="455"/>
        <w:spacing w:after="0" w:line="285" w:lineRule="auto"/>
        <w:tabs>
          <w:tab w:leader="none" w:pos="460"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Confidentiality</w:t>
      </w:r>
      <w:r>
        <w:rPr>
          <w:rFonts w:ascii="Arial" w:cs="Arial" w:eastAsia="Arial" w:hAnsi="Arial"/>
          <w:sz w:val="12"/>
          <w:szCs w:val="12"/>
          <w:color w:val="auto"/>
        </w:rPr>
        <w:t>. Executive acknowledges a duty of confidentiality owed to the Company and shall not, at any time during or after his employment by the Company, retain in writing, use, divulge, furnish, or make accessible to anyone, without the express authorization of the Board, any trade secret, private or confidential information or knowledge of the Company obtained or acquired by him while so employed. All computer software, business cards, telephone lists, customer lists, price lists, contract forms, catalogs, the Company books, records, files and know-how acquired while an employee of the Company are acknowledged to be the property of the Company and shall not be duplicated, removed from the Company’s possession or premises or made use of other than in pursuit of the Company’s business or as may otherwise be required by law or any legal process, or as is necessary in connection with any adversarial</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14" w:name="page115"/>
    <w:bookmarkEnd w:id="114"/>
    <w:p>
      <w:pPr>
        <w:ind w:left="460" w:right="180"/>
        <w:spacing w:after="0" w:line="276" w:lineRule="auto"/>
        <w:rPr>
          <w:sz w:val="20"/>
          <w:szCs w:val="20"/>
          <w:color w:val="auto"/>
        </w:rPr>
      </w:pPr>
      <w:r>
        <w:rPr>
          <w:rFonts w:ascii="Arial" w:cs="Arial" w:eastAsia="Arial" w:hAnsi="Arial"/>
          <w:sz w:val="13"/>
          <w:szCs w:val="13"/>
          <w:color w:val="auto"/>
        </w:rPr>
        <w:t>proceeding against the Company and, upon termination of employment for any reason, Executive shall deliver to the Company all copies thereof which are then in his possession or under his control. No information shall be treated as “confidential information” if it is generally available public knowledge at the time of disclosure or use by Executive.</w:t>
      </w:r>
    </w:p>
    <w:p>
      <w:pPr>
        <w:spacing w:after="0" w:line="59" w:lineRule="exact"/>
        <w:rPr>
          <w:sz w:val="20"/>
          <w:szCs w:val="20"/>
          <w:color w:val="auto"/>
        </w:rPr>
      </w:pPr>
    </w:p>
    <w:p>
      <w:pPr>
        <w:ind w:left="460" w:right="60" w:hanging="455"/>
        <w:spacing w:after="0" w:line="255" w:lineRule="auto"/>
        <w:tabs>
          <w:tab w:leader="none" w:pos="46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Inventions and Improvements</w:t>
      </w:r>
      <w:r>
        <w:rPr>
          <w:rFonts w:ascii="Arial" w:cs="Arial" w:eastAsia="Arial" w:hAnsi="Arial"/>
          <w:sz w:val="13"/>
          <w:szCs w:val="13"/>
          <w:color w:val="auto"/>
        </w:rPr>
        <w:t>. Executive shall promptly communicate to the Company all ideas, discoveries and inventions which are or may be useful to the Company or its business. Executive acknowledges that all such ideas, discoveries, inventions, and improvements which heretofore have been or are hereafter made, conceived, or reduced to practice by him at any time during his employment with the Company heretofore or hereafter gained by him at any time during his employment with the Company are the property of the Company, and Executive hereby irrevocably assigns all such ideas, discoveries, inventions and improvements to the Company for its sole use and benefit, without additional compensation. The provisions of this Section 5(c) shall apply whether such ideas, discoveries, inventions, or improvements were or are conceived, made or gained by him alone or with others, whether during or after usual working hours, whether on or off the job, whether applicable to matters directly or indirectly related to the Company’s business interests (including potential business interests), and whether or not within the specific realm of his duties. Executive shall, upon request of the Company, but at no expense to Executive, at any time during or after his employment with the Company, sign all instruments and documents reasonably requested by the Company and otherwise cooperate with the Company to protect its right to such ideas, discoveries, inventions, or improvements including applying for, obtaining and enforcing patents and copyrights thereon in such countries as the Company shall determine.</w:t>
      </w:r>
    </w:p>
    <w:p>
      <w:pPr>
        <w:spacing w:after="0" w:line="74" w:lineRule="exact"/>
        <w:rPr>
          <w:rFonts w:ascii="Arial" w:cs="Arial" w:eastAsia="Arial" w:hAnsi="Arial"/>
          <w:sz w:val="13"/>
          <w:szCs w:val="13"/>
          <w:color w:val="auto"/>
        </w:rPr>
      </w:pPr>
    </w:p>
    <w:p>
      <w:pPr>
        <w:ind w:left="460" w:right="140" w:hanging="455"/>
        <w:spacing w:after="0" w:line="260" w:lineRule="auto"/>
        <w:tabs>
          <w:tab w:leader="none" w:pos="46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Breach of Covenant</w:t>
      </w:r>
      <w:r>
        <w:rPr>
          <w:rFonts w:ascii="Arial" w:cs="Arial" w:eastAsia="Arial" w:hAnsi="Arial"/>
          <w:sz w:val="13"/>
          <w:szCs w:val="13"/>
          <w:color w:val="auto"/>
        </w:rPr>
        <w:t>. Executive expressly acknowledges that damages alone will be an inadequate remedy for any breach or violation of any of the provisions of this Section 5 and that the Company, in addition to all other remedies, shall be entitled as a matter of right to equitable relief, including injunctions and specific performance, in any court of competent jurisdiction. If any of the provisions of this Section 5 are held to be in any respect unenforceable, then they shall be deemed to extend only over the maximum period of time, geographic area, or range of activities as to which they may be enforceable.</w:t>
      </w:r>
    </w:p>
    <w:p>
      <w:pPr>
        <w:spacing w:after="0" w:line="69" w:lineRule="exact"/>
        <w:rPr>
          <w:rFonts w:ascii="Arial" w:cs="Arial" w:eastAsia="Arial" w:hAnsi="Arial"/>
          <w:sz w:val="13"/>
          <w:szCs w:val="13"/>
          <w:color w:val="auto"/>
        </w:rPr>
      </w:pPr>
    </w:p>
    <w:p>
      <w:pPr>
        <w:ind w:left="460" w:right="180" w:hanging="455"/>
        <w:spacing w:after="0" w:line="276" w:lineRule="auto"/>
        <w:tabs>
          <w:tab w:leader="none" w:pos="46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Survivability</w:t>
      </w:r>
      <w:r>
        <w:rPr>
          <w:rFonts w:ascii="Arial" w:cs="Arial" w:eastAsia="Arial" w:hAnsi="Arial"/>
          <w:sz w:val="13"/>
          <w:szCs w:val="13"/>
          <w:color w:val="auto"/>
        </w:rPr>
        <w:t>. Executive’s obligations under this Section 5 shall survive termination of this Agreement and/or termination of Executive’s employment regardless of the manner of termination and shall be binding upon Executive’s heirs, executors, administrators and legal representatives.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15" w:name="page116"/>
    <w:bookmarkEnd w:id="115"/>
    <w:p>
      <w:pPr>
        <w:ind w:left="300" w:hanging="138"/>
        <w:spacing w:after="0"/>
        <w:tabs>
          <w:tab w:leader="none" w:pos="300" w:val="left"/>
        </w:tabs>
        <w:numPr>
          <w:ilvl w:val="0"/>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Condition to Payment</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receipt of the compensation benefits set forth herein are expressly conditioned upon Executive’s execution of a general release satisfactory to the Company.</w:t>
      </w:r>
    </w:p>
    <w:p>
      <w:pPr>
        <w:spacing w:after="0" w:line="86" w:lineRule="exact"/>
        <w:rPr>
          <w:rFonts w:ascii="Arial" w:cs="Arial" w:eastAsia="Arial" w:hAnsi="Arial"/>
          <w:sz w:val="13"/>
          <w:szCs w:val="13"/>
          <w:color w:val="auto"/>
        </w:rPr>
      </w:pPr>
    </w:p>
    <w:p>
      <w:pPr>
        <w:ind w:right="320" w:firstLine="162"/>
        <w:spacing w:after="0" w:line="283" w:lineRule="auto"/>
        <w:tabs>
          <w:tab w:leader="none" w:pos="295" w:val="left"/>
        </w:tabs>
        <w:numPr>
          <w:ilvl w:val="0"/>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No Duty to Mitigate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 shall not be required to mitigate the amount of any payment or benefit provided for in this Agreement by seeking other employment or otherwise, nor shall the amount of any</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or benefit provided for herein be reduced by any compensation earned by other employment or otherwise.</w:t>
      </w:r>
    </w:p>
    <w:p>
      <w:pPr>
        <w:spacing w:after="0" w:line="40" w:lineRule="exact"/>
        <w:rPr>
          <w:rFonts w:ascii="Arial" w:cs="Arial" w:eastAsia="Arial" w:hAnsi="Arial"/>
          <w:sz w:val="13"/>
          <w:szCs w:val="13"/>
          <w:color w:val="auto"/>
        </w:rPr>
      </w:pPr>
    </w:p>
    <w:p>
      <w:pPr>
        <w:ind w:right="500" w:firstLine="162"/>
        <w:spacing w:after="0" w:line="327" w:lineRule="auto"/>
        <w:tabs>
          <w:tab w:leader="none" w:pos="295" w:val="left"/>
        </w:tabs>
        <w:numPr>
          <w:ilvl w:val="0"/>
          <w:numId w:val="59"/>
        </w:numPr>
        <w:rPr>
          <w:rFonts w:ascii="Arial" w:cs="Arial" w:eastAsia="Arial" w:hAnsi="Arial"/>
          <w:sz w:val="12"/>
          <w:szCs w:val="12"/>
          <w:color w:val="auto"/>
        </w:rPr>
      </w:pPr>
      <w:r>
        <w:rPr>
          <w:rFonts w:ascii="Arial" w:cs="Arial" w:eastAsia="Arial" w:hAnsi="Arial"/>
          <w:sz w:val="12"/>
          <w:szCs w:val="12"/>
          <w:b w:val="1"/>
          <w:bCs w:val="1"/>
          <w:u w:val="single" w:color="auto"/>
          <w:color w:val="auto"/>
        </w:rPr>
        <w:t>No Set-off</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a Change in Control, the Company’s obligation to make the payments provided for in this Agreement and otherwise to perform its obligations hereunder shall not be affected by any</w:t>
      </w:r>
      <w:r>
        <w:rPr>
          <w:rFonts w:ascii="Arial" w:cs="Arial" w:eastAsia="Arial" w:hAnsi="Arial"/>
          <w:sz w:val="12"/>
          <w:szCs w:val="12"/>
          <w:b w:val="1"/>
          <w:bCs w:val="1"/>
          <w:color w:val="auto"/>
        </w:rPr>
        <w:t xml:space="preserve"> </w:t>
      </w:r>
      <w:r>
        <w:rPr>
          <w:rFonts w:ascii="Arial" w:cs="Arial" w:eastAsia="Arial" w:hAnsi="Arial"/>
          <w:sz w:val="12"/>
          <w:szCs w:val="12"/>
          <w:color w:val="auto"/>
        </w:rPr>
        <w:t>circumstances, including, without limitation, any set-off, counterclaim, recoupment, defense or other right which the Company may have against Executive or otherwise arising.</w:t>
      </w:r>
    </w:p>
    <w:p>
      <w:pPr>
        <w:spacing w:after="0" w:line="17" w:lineRule="exact"/>
        <w:rPr>
          <w:rFonts w:ascii="Arial" w:cs="Arial" w:eastAsia="Arial" w:hAnsi="Arial"/>
          <w:sz w:val="12"/>
          <w:szCs w:val="12"/>
          <w:color w:val="auto"/>
        </w:rPr>
      </w:pPr>
    </w:p>
    <w:p>
      <w:pPr>
        <w:ind w:right="140" w:firstLine="162"/>
        <w:spacing w:after="0" w:line="267" w:lineRule="auto"/>
        <w:tabs>
          <w:tab w:leader="none" w:pos="295" w:val="left"/>
        </w:tabs>
        <w:numPr>
          <w:ilvl w:val="0"/>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Limitation on Obligations of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 understands that this Agreement does not create an obligation on the Company or any other person or entity to continue his employment or to exploit any</w:t>
      </w:r>
      <w:r>
        <w:rPr>
          <w:rFonts w:ascii="Arial" w:cs="Arial" w:eastAsia="Arial" w:hAnsi="Arial"/>
          <w:sz w:val="13"/>
          <w:szCs w:val="13"/>
          <w:b w:val="1"/>
          <w:bCs w:val="1"/>
          <w:color w:val="auto"/>
        </w:rPr>
        <w:t xml:space="preserve"> </w:t>
      </w:r>
      <w:r>
        <w:rPr>
          <w:rFonts w:ascii="Arial" w:cs="Arial" w:eastAsia="Arial" w:hAnsi="Arial"/>
          <w:sz w:val="13"/>
          <w:szCs w:val="13"/>
          <w:color w:val="auto"/>
        </w:rPr>
        <w:t>Inventions. Executive understands and acknowledges that his employment with the Company is for an unspecified duration and constitutes “at-will” employment and that this employment relationship may be terminated at any time, with or without cause, either at Executive’s or the Company’s option, with or without notice.</w:t>
      </w:r>
    </w:p>
    <w:p>
      <w:pPr>
        <w:spacing w:after="0" w:line="51" w:lineRule="exact"/>
        <w:rPr>
          <w:rFonts w:ascii="Arial" w:cs="Arial" w:eastAsia="Arial" w:hAnsi="Arial"/>
          <w:sz w:val="13"/>
          <w:szCs w:val="13"/>
          <w:color w:val="auto"/>
        </w:rPr>
      </w:pPr>
    </w:p>
    <w:p>
      <w:pPr>
        <w:jc w:val="both"/>
        <w:ind w:right="140" w:firstLine="162"/>
        <w:spacing w:after="0" w:line="267" w:lineRule="auto"/>
        <w:tabs>
          <w:tab w:leader="none" w:pos="360" w:val="left"/>
        </w:tabs>
        <w:numPr>
          <w:ilvl w:val="0"/>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Executive Duties</w:t>
      </w:r>
      <w:r>
        <w:rPr>
          <w:rFonts w:ascii="Arial" w:cs="Arial" w:eastAsia="Arial" w:hAnsi="Arial"/>
          <w:sz w:val="13"/>
          <w:szCs w:val="13"/>
          <w:b w:val="1"/>
          <w:bCs w:val="1"/>
          <w:color w:val="auto"/>
        </w:rPr>
        <w:t xml:space="preserve">. </w:t>
      </w:r>
      <w:r>
        <w:rPr>
          <w:rFonts w:ascii="Arial" w:cs="Arial" w:eastAsia="Arial" w:hAnsi="Arial"/>
          <w:sz w:val="13"/>
          <w:szCs w:val="13"/>
          <w:color w:val="auto"/>
        </w:rPr>
        <w:t>Unless such notice is waived by the Company, Executive shall not terminate employment with the Company without giving 30 days’ prior notice to the Board, and during such 30-day period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Executive will assist, as and to the extent reasonably requested by the Company, in training the successor to Executive’s position with the Company;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provisions of Section 1(h) shall control over this Section 10 in the event of a voluntary termination by Executive for Good Reason.</w:t>
      </w:r>
    </w:p>
    <w:p>
      <w:pPr>
        <w:spacing w:after="0" w:line="51" w:lineRule="exact"/>
        <w:rPr>
          <w:rFonts w:ascii="Arial" w:cs="Arial" w:eastAsia="Arial" w:hAnsi="Arial"/>
          <w:sz w:val="13"/>
          <w:szCs w:val="13"/>
          <w:color w:val="auto"/>
        </w:rPr>
      </w:pPr>
    </w:p>
    <w:p>
      <w:pPr>
        <w:ind w:right="20" w:firstLine="162"/>
        <w:spacing w:after="0" w:line="283" w:lineRule="auto"/>
        <w:tabs>
          <w:tab w:leader="none" w:pos="355" w:val="left"/>
        </w:tabs>
        <w:numPr>
          <w:ilvl w:val="0"/>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Withholding</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have the right to withhold from all payments made pursuant to this Agreement any federal, state, or local taxes and such other amounts as may be required by law to be withheld</w:t>
      </w:r>
      <w:r>
        <w:rPr>
          <w:rFonts w:ascii="Arial" w:cs="Arial" w:eastAsia="Arial" w:hAnsi="Arial"/>
          <w:sz w:val="13"/>
          <w:szCs w:val="13"/>
          <w:b w:val="1"/>
          <w:bCs w:val="1"/>
          <w:color w:val="auto"/>
        </w:rPr>
        <w:t xml:space="preserve"> </w:t>
      </w:r>
      <w:r>
        <w:rPr>
          <w:rFonts w:ascii="Arial" w:cs="Arial" w:eastAsia="Arial" w:hAnsi="Arial"/>
          <w:sz w:val="13"/>
          <w:szCs w:val="13"/>
          <w:color w:val="auto"/>
        </w:rPr>
        <w:t>from such payments.</w:t>
      </w:r>
    </w:p>
    <w:p>
      <w:pPr>
        <w:spacing w:after="0" w:line="40" w:lineRule="exact"/>
        <w:rPr>
          <w:rFonts w:ascii="Arial" w:cs="Arial" w:eastAsia="Arial" w:hAnsi="Arial"/>
          <w:sz w:val="13"/>
          <w:szCs w:val="13"/>
          <w:color w:val="auto"/>
        </w:rPr>
      </w:pPr>
    </w:p>
    <w:p>
      <w:pPr>
        <w:ind w:firstLine="162"/>
        <w:spacing w:after="0" w:line="300" w:lineRule="auto"/>
        <w:tabs>
          <w:tab w:leader="none" w:pos="360" w:val="left"/>
        </w:tabs>
        <w:numPr>
          <w:ilvl w:val="0"/>
          <w:numId w:val="59"/>
        </w:numPr>
        <w:rPr>
          <w:rFonts w:ascii="Arial" w:cs="Arial" w:eastAsia="Arial" w:hAnsi="Arial"/>
          <w:sz w:val="12"/>
          <w:szCs w:val="12"/>
          <w:color w:val="auto"/>
        </w:rPr>
      </w:pPr>
      <w:r>
        <w:rPr>
          <w:rFonts w:ascii="Arial" w:cs="Arial" w:eastAsia="Arial" w:hAnsi="Arial"/>
          <w:sz w:val="12"/>
          <w:szCs w:val="12"/>
          <w:b w:val="1"/>
          <w:bCs w:val="1"/>
          <w:u w:val="single" w:color="auto"/>
          <w:color w:val="auto"/>
        </w:rPr>
        <w:t>Assignability</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may assign this Agreement and its rights and obligations hereunder in whole, but not in part, to any entity to which the Company may transfer all or substantially all of its assets, if in</w:t>
      </w:r>
      <w:r>
        <w:rPr>
          <w:rFonts w:ascii="Arial" w:cs="Arial" w:eastAsia="Arial" w:hAnsi="Arial"/>
          <w:sz w:val="12"/>
          <w:szCs w:val="12"/>
          <w:b w:val="1"/>
          <w:bCs w:val="1"/>
          <w:color w:val="auto"/>
        </w:rPr>
        <w:t xml:space="preserve"> </w:t>
      </w:r>
      <w:r>
        <w:rPr>
          <w:rFonts w:ascii="Arial" w:cs="Arial" w:eastAsia="Arial" w:hAnsi="Arial"/>
          <w:sz w:val="12"/>
          <w:szCs w:val="12"/>
          <w:color w:val="auto"/>
        </w:rPr>
        <w:t>any such case said entity shall expressly in writing assume all obligations of the Company hereunder as fully as if it had been originally made a party hereto. The Company may not otherwise assign this Agreement or its rights and obligations hereunder. This Agreement is personal to Executive and his rights and duties hereunder shall not be assigned except as expressly agreed to in writing by the Company.</w:t>
      </w:r>
    </w:p>
    <w:p>
      <w:pPr>
        <w:spacing w:after="0" w:line="32" w:lineRule="exact"/>
        <w:rPr>
          <w:rFonts w:ascii="Arial" w:cs="Arial" w:eastAsia="Arial" w:hAnsi="Arial"/>
          <w:sz w:val="12"/>
          <w:szCs w:val="12"/>
          <w:color w:val="auto"/>
        </w:rPr>
      </w:pPr>
    </w:p>
    <w:p>
      <w:pPr>
        <w:ind w:right="40" w:firstLine="162"/>
        <w:spacing w:after="0" w:line="283" w:lineRule="auto"/>
        <w:tabs>
          <w:tab w:leader="none" w:pos="360" w:val="left"/>
        </w:tabs>
        <w:numPr>
          <w:ilvl w:val="0"/>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Death of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Any amounts due Executive under this Agreement (not including any Base Salary not yet earned by Executive) unpaid as of the date of Executive’s death shall be paid in a single sum within</w:t>
      </w:r>
      <w:r>
        <w:rPr>
          <w:rFonts w:ascii="Arial" w:cs="Arial" w:eastAsia="Arial" w:hAnsi="Arial"/>
          <w:sz w:val="13"/>
          <w:szCs w:val="13"/>
          <w:b w:val="1"/>
          <w:bCs w:val="1"/>
          <w:color w:val="auto"/>
        </w:rPr>
        <w:t xml:space="preserve"> </w:t>
      </w:r>
      <w:r>
        <w:rPr>
          <w:rFonts w:ascii="Arial" w:cs="Arial" w:eastAsia="Arial" w:hAnsi="Arial"/>
          <w:sz w:val="13"/>
          <w:szCs w:val="13"/>
          <w:color w:val="auto"/>
        </w:rPr>
        <w:t>thirty (30) days after Executive’s death to Executive’s surviving spouse, or if none, to the duly appointed personal representative of his estate.</w:t>
      </w:r>
    </w:p>
    <w:p>
      <w:pPr>
        <w:spacing w:after="0" w:line="40" w:lineRule="exact"/>
        <w:rPr>
          <w:rFonts w:ascii="Arial" w:cs="Arial" w:eastAsia="Arial" w:hAnsi="Arial"/>
          <w:sz w:val="13"/>
          <w:szCs w:val="13"/>
          <w:color w:val="auto"/>
        </w:rPr>
      </w:pPr>
    </w:p>
    <w:p>
      <w:pPr>
        <w:ind w:left="360" w:hanging="198"/>
        <w:spacing w:after="0"/>
        <w:tabs>
          <w:tab w:leader="none" w:pos="360" w:val="left"/>
        </w:tabs>
        <w:numPr>
          <w:ilvl w:val="0"/>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Legal 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event of a termination pursuant to Section 4(a) hereof, the Company shall also pay to Executive all reasonable legal fees and expenses incurred by</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116" w:name="page117"/>
    <w:bookmarkEnd w:id="116"/>
    <w:p>
      <w:pPr>
        <w:ind w:right="300"/>
        <w:spacing w:after="0" w:line="276" w:lineRule="auto"/>
        <w:rPr>
          <w:sz w:val="20"/>
          <w:szCs w:val="20"/>
          <w:color w:val="auto"/>
        </w:rPr>
      </w:pPr>
      <w:r>
        <w:rPr>
          <w:rFonts w:ascii="Arial" w:cs="Arial" w:eastAsia="Arial" w:hAnsi="Arial"/>
          <w:sz w:val="13"/>
          <w:szCs w:val="13"/>
          <w:color w:val="auto"/>
        </w:rPr>
        <w:t>Executive as a result of such termination of employment (including all fees and expenses, if any, incurred by Executive in contesting or disputing any such termination or in seeking to obtain to enforce any right or benefit provided to Executive by this Agreement whether by arbitration or otherwise).</w:t>
      </w:r>
    </w:p>
    <w:p>
      <w:pPr>
        <w:spacing w:after="0" w:line="45" w:lineRule="exact"/>
        <w:rPr>
          <w:sz w:val="20"/>
          <w:szCs w:val="20"/>
          <w:color w:val="auto"/>
        </w:rPr>
      </w:pPr>
    </w:p>
    <w:p>
      <w:pPr>
        <w:ind w:left="680" w:hanging="455"/>
        <w:spacing w:after="0"/>
        <w:tabs>
          <w:tab w:leader="none" w:pos="680" w:val="left"/>
        </w:tabs>
        <w:numPr>
          <w:ilvl w:val="0"/>
          <w:numId w:val="60"/>
        </w:numPr>
        <w:rPr>
          <w:rFonts w:ascii="Arial" w:cs="Arial" w:eastAsia="Arial" w:hAnsi="Arial"/>
          <w:sz w:val="13"/>
          <w:szCs w:val="13"/>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b w:val="1"/>
          <w:bCs w:val="1"/>
          <w:color w:val="auto"/>
        </w:rPr>
        <w:t>.</w:t>
      </w:r>
    </w:p>
    <w:p>
      <w:pPr>
        <w:spacing w:after="0" w:line="90" w:lineRule="exact"/>
        <w:rPr>
          <w:rFonts w:ascii="Arial" w:cs="Arial" w:eastAsia="Arial" w:hAnsi="Arial"/>
          <w:sz w:val="13"/>
          <w:szCs w:val="13"/>
          <w:color w:val="auto"/>
        </w:rPr>
      </w:pPr>
    </w:p>
    <w:p>
      <w:pPr>
        <w:ind w:left="1140" w:right="420" w:hanging="453"/>
        <w:spacing w:after="0" w:line="276" w:lineRule="auto"/>
        <w:tabs>
          <w:tab w:leader="none" w:pos="1140" w:val="left"/>
        </w:tabs>
        <w:numPr>
          <w:ilvl w:val="1"/>
          <w:numId w:val="60"/>
        </w:numPr>
        <w:rPr>
          <w:rFonts w:ascii="Arial" w:cs="Arial" w:eastAsia="Arial" w:hAnsi="Arial"/>
          <w:sz w:val="13"/>
          <w:szCs w:val="13"/>
          <w:color w:val="auto"/>
        </w:rPr>
      </w:pPr>
      <w:r>
        <w:rPr>
          <w:rFonts w:ascii="Arial" w:cs="Arial" w:eastAsia="Arial" w:hAnsi="Arial"/>
          <w:sz w:val="13"/>
          <w:szCs w:val="13"/>
          <w:u w:val="single" w:color="auto"/>
          <w:color w:val="auto"/>
        </w:rPr>
        <w:t>Amendment</w:t>
      </w:r>
      <w:r>
        <w:rPr>
          <w:rFonts w:ascii="Arial" w:cs="Arial" w:eastAsia="Arial" w:hAnsi="Arial"/>
          <w:sz w:val="13"/>
          <w:szCs w:val="13"/>
          <w:color w:val="auto"/>
        </w:rPr>
        <w:t>. No provision of this Agreement may be amended unless such amendment is signed by Executive and such officer as may be specifically designated by the Board to sign on the Company’s behalf.</w:t>
      </w:r>
    </w:p>
    <w:p>
      <w:pPr>
        <w:spacing w:after="0" w:line="59" w:lineRule="exact"/>
        <w:rPr>
          <w:rFonts w:ascii="Arial" w:cs="Arial" w:eastAsia="Arial" w:hAnsi="Arial"/>
          <w:sz w:val="13"/>
          <w:szCs w:val="13"/>
          <w:color w:val="auto"/>
        </w:rPr>
      </w:pPr>
    </w:p>
    <w:p>
      <w:pPr>
        <w:ind w:left="1140" w:right="400" w:hanging="453"/>
        <w:spacing w:after="0" w:line="320" w:lineRule="auto"/>
        <w:tabs>
          <w:tab w:leader="none" w:pos="1140" w:val="left"/>
        </w:tabs>
        <w:numPr>
          <w:ilvl w:val="1"/>
          <w:numId w:val="60"/>
        </w:numPr>
        <w:rPr>
          <w:rFonts w:ascii="Arial" w:cs="Arial" w:eastAsia="Arial" w:hAnsi="Arial"/>
          <w:sz w:val="12"/>
          <w:szCs w:val="12"/>
          <w:color w:val="auto"/>
        </w:rPr>
      </w:pPr>
      <w:r>
        <w:rPr>
          <w:rFonts w:ascii="Arial" w:cs="Arial" w:eastAsia="Arial" w:hAnsi="Arial"/>
          <w:sz w:val="12"/>
          <w:szCs w:val="12"/>
          <w:u w:val="single" w:color="auto"/>
          <w:color w:val="auto"/>
        </w:rPr>
        <w:t>Nature of Obligations</w:t>
      </w:r>
      <w:r>
        <w:rPr>
          <w:rFonts w:ascii="Arial" w:cs="Arial" w:eastAsia="Arial" w:hAnsi="Arial"/>
          <w:sz w:val="12"/>
          <w:szCs w:val="12"/>
          <w:color w:val="auto"/>
        </w:rPr>
        <w:t>. Nothing contained herein shall create or require the Company to create a trust of any kind to fund any benefits which may be payable hereunder, and to the extent that Executive acquires a right to receive benefits from the Company hereunder, such right shall be no greater than the right of any unsecured general creditor of the Company.</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60"/>
        </w:numPr>
        <w:rPr>
          <w:rFonts w:ascii="Arial" w:cs="Arial" w:eastAsia="Arial" w:hAnsi="Arial"/>
          <w:sz w:val="13"/>
          <w:szCs w:val="13"/>
          <w:color w:val="auto"/>
        </w:rPr>
      </w:pPr>
      <w:r>
        <w:rPr>
          <w:rFonts w:ascii="Arial" w:cs="Arial" w:eastAsia="Arial" w:hAnsi="Arial"/>
          <w:sz w:val="13"/>
          <w:szCs w:val="13"/>
          <w:u w:val="single" w:color="auto"/>
          <w:color w:val="auto"/>
        </w:rPr>
        <w:t>ERISA</w:t>
      </w:r>
      <w:r>
        <w:rPr>
          <w:rFonts w:ascii="Arial" w:cs="Arial" w:eastAsia="Arial" w:hAnsi="Arial"/>
          <w:sz w:val="13"/>
          <w:szCs w:val="13"/>
          <w:color w:val="auto"/>
        </w:rPr>
        <w:t>. For purposes of the Employee Retirement Income Security Act of 1974, as amended, this Agreement is intended to be a severance pay employee welfare benefit plan, and not an employee pension plan, and shall be construed and administered with that intention.</w:t>
      </w:r>
    </w:p>
    <w:p>
      <w:pPr>
        <w:spacing w:after="0" w:line="59" w:lineRule="exact"/>
        <w:rPr>
          <w:rFonts w:ascii="Arial" w:cs="Arial" w:eastAsia="Arial" w:hAnsi="Arial"/>
          <w:sz w:val="13"/>
          <w:szCs w:val="13"/>
          <w:color w:val="auto"/>
        </w:rPr>
      </w:pPr>
    </w:p>
    <w:p>
      <w:pPr>
        <w:ind w:left="1140" w:right="140" w:hanging="453"/>
        <w:spacing w:after="0" w:line="276" w:lineRule="auto"/>
        <w:tabs>
          <w:tab w:leader="none" w:pos="1140" w:val="left"/>
        </w:tabs>
        <w:numPr>
          <w:ilvl w:val="1"/>
          <w:numId w:val="60"/>
        </w:numPr>
        <w:rPr>
          <w:rFonts w:ascii="Arial" w:cs="Arial" w:eastAsia="Arial" w:hAnsi="Arial"/>
          <w:sz w:val="13"/>
          <w:szCs w:val="13"/>
          <w:color w:val="auto"/>
        </w:rPr>
      </w:pPr>
      <w:r>
        <w:rPr>
          <w:rFonts w:ascii="Arial" w:cs="Arial" w:eastAsia="Arial" w:hAnsi="Arial"/>
          <w:sz w:val="13"/>
          <w:szCs w:val="13"/>
          <w:u w:val="single" w:color="auto"/>
          <w:color w:val="auto"/>
        </w:rPr>
        <w:t>Prior Employment</w:t>
      </w:r>
      <w:r>
        <w:rPr>
          <w:rFonts w:ascii="Arial" w:cs="Arial" w:eastAsia="Arial" w:hAnsi="Arial"/>
          <w:sz w:val="13"/>
          <w:szCs w:val="13"/>
          <w:color w:val="auto"/>
        </w:rPr>
        <w:t>. Executive represents and warrants that his acceptance of employment with the Company has not breached, and the performance of his duties for the Company will not breach, any duty owed by him to any prior employer or other person.</w:t>
      </w:r>
    </w:p>
    <w:p>
      <w:pPr>
        <w:spacing w:after="0" w:line="59" w:lineRule="exact"/>
        <w:rPr>
          <w:rFonts w:ascii="Arial" w:cs="Arial" w:eastAsia="Arial" w:hAnsi="Arial"/>
          <w:sz w:val="13"/>
          <w:szCs w:val="13"/>
          <w:color w:val="auto"/>
        </w:rPr>
      </w:pPr>
    </w:p>
    <w:p>
      <w:pPr>
        <w:ind w:left="1140" w:right="380" w:hanging="453"/>
        <w:spacing w:after="0" w:line="276" w:lineRule="auto"/>
        <w:tabs>
          <w:tab w:leader="none" w:pos="1140" w:val="left"/>
        </w:tabs>
        <w:numPr>
          <w:ilvl w:val="1"/>
          <w:numId w:val="60"/>
        </w:numPr>
        <w:rPr>
          <w:rFonts w:ascii="Arial" w:cs="Arial" w:eastAsia="Arial" w:hAnsi="Arial"/>
          <w:sz w:val="13"/>
          <w:szCs w:val="13"/>
          <w:color w:val="auto"/>
        </w:rPr>
      </w:pPr>
      <w:r>
        <w:rPr>
          <w:rFonts w:ascii="Arial" w:cs="Arial" w:eastAsia="Arial" w:hAnsi="Arial"/>
          <w:sz w:val="13"/>
          <w:szCs w:val="13"/>
          <w:u w:val="single" w:color="auto"/>
          <w:color w:val="auto"/>
        </w:rPr>
        <w:t>Headings</w:t>
      </w:r>
      <w:r>
        <w:rPr>
          <w:rFonts w:ascii="Arial" w:cs="Arial" w:eastAsia="Arial" w:hAnsi="Arial"/>
          <w:sz w:val="13"/>
          <w:szCs w:val="13"/>
          <w:color w:val="auto"/>
        </w:rPr>
        <w:t>. The Section headings contained in this Agreement are for reference purposes only and shall not affect in any way the meaning or interpretation or this Agreement. In the event of a conflict between a heading and the content of a Section, the content of the Section shall control.</w:t>
      </w:r>
    </w:p>
    <w:p>
      <w:pPr>
        <w:spacing w:after="0" w:line="59" w:lineRule="exact"/>
        <w:rPr>
          <w:rFonts w:ascii="Arial" w:cs="Arial" w:eastAsia="Arial" w:hAnsi="Arial"/>
          <w:sz w:val="13"/>
          <w:szCs w:val="13"/>
          <w:color w:val="auto"/>
        </w:rPr>
      </w:pPr>
    </w:p>
    <w:p>
      <w:pPr>
        <w:ind w:left="1140" w:right="220" w:hanging="453"/>
        <w:spacing w:after="0" w:line="276" w:lineRule="auto"/>
        <w:tabs>
          <w:tab w:leader="none" w:pos="1140" w:val="left"/>
        </w:tabs>
        <w:numPr>
          <w:ilvl w:val="1"/>
          <w:numId w:val="60"/>
        </w:numPr>
        <w:rPr>
          <w:rFonts w:ascii="Arial" w:cs="Arial" w:eastAsia="Arial" w:hAnsi="Arial"/>
          <w:sz w:val="13"/>
          <w:szCs w:val="13"/>
          <w:color w:val="auto"/>
        </w:rPr>
      </w:pPr>
      <w:r>
        <w:rPr>
          <w:rFonts w:ascii="Arial" w:cs="Arial" w:eastAsia="Arial" w:hAnsi="Arial"/>
          <w:sz w:val="13"/>
          <w:szCs w:val="13"/>
          <w:u w:val="single" w:color="auto"/>
          <w:color w:val="auto"/>
        </w:rPr>
        <w:t>Gender and Number</w:t>
      </w:r>
      <w:r>
        <w:rPr>
          <w:rFonts w:ascii="Arial" w:cs="Arial" w:eastAsia="Arial" w:hAnsi="Arial"/>
          <w:sz w:val="13"/>
          <w:szCs w:val="13"/>
          <w:color w:val="auto"/>
        </w:rPr>
        <w:t>. Whenever used in this Agreement, a masculine pronoun is deemed to include the feminine and a neuter pronoun is deemed to include both the masculine and the feminine, unless the context clearly indicates otherwise. The singular form, whenever used herein, shall mean or include the plural form where applicable.</w:t>
      </w:r>
    </w:p>
    <w:p>
      <w:pPr>
        <w:spacing w:after="0" w:line="59" w:lineRule="exact"/>
        <w:rPr>
          <w:rFonts w:ascii="Arial" w:cs="Arial" w:eastAsia="Arial" w:hAnsi="Arial"/>
          <w:sz w:val="13"/>
          <w:szCs w:val="13"/>
          <w:color w:val="auto"/>
        </w:rPr>
      </w:pPr>
    </w:p>
    <w:p>
      <w:pPr>
        <w:ind w:left="1140" w:right="180" w:hanging="453"/>
        <w:spacing w:after="0" w:line="276" w:lineRule="auto"/>
        <w:tabs>
          <w:tab w:leader="none" w:pos="1140" w:val="left"/>
        </w:tabs>
        <w:numPr>
          <w:ilvl w:val="1"/>
          <w:numId w:val="60"/>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60"/>
        </w:numPr>
        <w:rPr>
          <w:rFonts w:ascii="Arial" w:cs="Arial" w:eastAsia="Arial" w:hAnsi="Arial"/>
          <w:sz w:val="12"/>
          <w:szCs w:val="12"/>
          <w:color w:val="auto"/>
        </w:rPr>
      </w:pPr>
      <w:r>
        <w:rPr>
          <w:rFonts w:ascii="Arial" w:cs="Arial" w:eastAsia="Arial" w:hAnsi="Arial"/>
          <w:sz w:val="12"/>
          <w:szCs w:val="12"/>
          <w:u w:val="single" w:color="auto"/>
          <w:color w:val="auto"/>
        </w:rPr>
        <w:t>Binding Effect</w:t>
      </w:r>
      <w:r>
        <w:rPr>
          <w:rFonts w:ascii="Arial" w:cs="Arial" w:eastAsia="Arial" w:hAnsi="Arial"/>
          <w:sz w:val="12"/>
          <w:szCs w:val="12"/>
          <w:color w:val="auto"/>
        </w:rPr>
        <w:t>. This Agreement shall be binding upon and inure to the benefit of the parties hereto and their respective successors, permitted assigns, heirs, executors and administrators.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7" w:name="page118"/>
    <w:bookmarkEnd w:id="117"/>
    <w:p>
      <w:pPr>
        <w:ind w:left="460" w:hanging="453"/>
        <w:spacing w:after="0" w:line="320" w:lineRule="auto"/>
        <w:tabs>
          <w:tab w:leader="none" w:pos="460"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To the Company:</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Integra LifeSciences Holdings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311 Enterprise Drive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Plainsboro, New Jersey 08536</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Attn: President and CEO</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With a copy to:</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Company’s General Counsel:</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To Executive: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Judith E. O’Grady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c/o Integra LifeSciences Corporation</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311 Enterprise Drive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Plainsboro, NJ 08536</w:t>
      </w:r>
    </w:p>
    <w:p>
      <w:pPr>
        <w:spacing w:after="0" w:line="79" w:lineRule="exact"/>
        <w:rPr>
          <w:sz w:val="20"/>
          <w:szCs w:val="20"/>
          <w:color w:val="auto"/>
        </w:rPr>
      </w:pPr>
    </w:p>
    <w:p>
      <w:pPr>
        <w:ind w:left="460" w:right="140" w:hanging="453"/>
        <w:spacing w:after="0" w:line="276" w:lineRule="auto"/>
        <w:tabs>
          <w:tab w:leader="none" w:pos="46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sets forth the entire understanding of the parties and supersedes all prior agreements, arrangements and communications, whether oral or written, pertaining to the subject matter hereof.</w:t>
      </w:r>
    </w:p>
    <w:p>
      <w:pPr>
        <w:spacing w:after="0" w:line="59" w:lineRule="exact"/>
        <w:rPr>
          <w:rFonts w:ascii="Arial" w:cs="Arial" w:eastAsia="Arial" w:hAnsi="Arial"/>
          <w:sz w:val="13"/>
          <w:szCs w:val="13"/>
          <w:color w:val="auto"/>
        </w:rPr>
      </w:pPr>
    </w:p>
    <w:p>
      <w:pPr>
        <w:ind w:left="460" w:right="120" w:hanging="453"/>
        <w:spacing w:after="0" w:line="276" w:lineRule="auto"/>
        <w:tabs>
          <w:tab w:leader="none" w:pos="46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The validity, interpretation, construction and performance of this Agreement shall be governed by the laws of the United States where applicable and otherwise by the laws of the State of New Jersey.</w:t>
      </w:r>
    </w:p>
    <w:p>
      <w:pPr>
        <w:spacing w:after="0" w:line="59" w:lineRule="exact"/>
        <w:rPr>
          <w:rFonts w:ascii="Arial" w:cs="Arial" w:eastAsia="Arial" w:hAnsi="Arial"/>
          <w:sz w:val="13"/>
          <w:szCs w:val="13"/>
          <w:color w:val="auto"/>
        </w:rPr>
      </w:pPr>
    </w:p>
    <w:p>
      <w:pPr>
        <w:ind w:left="460" w:hanging="453"/>
        <w:spacing w:after="0"/>
        <w:tabs>
          <w:tab w:leader="none" w:pos="46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Section 409A</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jc w:val="both"/>
        <w:ind w:left="920" w:right="120" w:hanging="461"/>
        <w:spacing w:after="0" w:line="260" w:lineRule="auto"/>
        <w:tabs>
          <w:tab w:leader="none" w:pos="920" w:val="left"/>
        </w:tabs>
        <w:numPr>
          <w:ilvl w:val="1"/>
          <w:numId w:val="62"/>
        </w:numPr>
        <w:rPr>
          <w:rFonts w:ascii="Arial" w:cs="Arial" w:eastAsia="Arial" w:hAnsi="Arial"/>
          <w:sz w:val="13"/>
          <w:szCs w:val="13"/>
          <w:color w:val="auto"/>
        </w:rPr>
      </w:pPr>
      <w:r>
        <w:rPr>
          <w:rFonts w:ascii="Arial" w:cs="Arial" w:eastAsia="Arial" w:hAnsi="Arial"/>
          <w:sz w:val="13"/>
          <w:szCs w:val="13"/>
          <w:color w:val="auto"/>
        </w:rPr>
        <w:t>This Agreement shall be interpreted in accordance with Section 409A of the Code and Department of Treasury regulations and other interpretive guidance issued thereunder and to avoid any penalty sanctions under Section 409A of the Code. If any payment or benefit cannot be provided or made at the time specified herein without incurring sanctions under Section 409A of the Code, then such benefit or payment shall be provided in full at the earliest time thereafter when such sanctions will not be imposed. All payments to be made upon a termination of employment under this Agreement may only be made upon a “separation from service”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900" w:top="720" w:right="219" w:bottom="1440" w:gutter="0" w:footer="0" w:header="0"/>
        </w:sectPr>
      </w:pPr>
    </w:p>
    <w:bookmarkStart w:id="118" w:name="page119"/>
    <w:bookmarkEnd w:id="118"/>
    <w:p>
      <w:pPr>
        <w:ind w:left="1600" w:right="40"/>
        <w:spacing w:after="0" w:line="276" w:lineRule="auto"/>
        <w:rPr>
          <w:sz w:val="20"/>
          <w:szCs w:val="20"/>
          <w:color w:val="auto"/>
        </w:rPr>
      </w:pPr>
      <w:r>
        <w:rPr>
          <w:rFonts w:ascii="Arial" w:cs="Arial" w:eastAsia="Arial" w:hAnsi="Arial"/>
          <w:sz w:val="13"/>
          <w:szCs w:val="13"/>
          <w:color w:val="auto"/>
        </w:rPr>
        <w:t>under Section 409A of the Code. For purposes of Section 409A of the Code, each payment made under this Agreement shall be treated as a separate payment. In no event may Executive, directly or indirectly, designate the calendar year of payment.</w:t>
      </w:r>
    </w:p>
    <w:p>
      <w:pPr>
        <w:spacing w:after="0" w:line="59" w:lineRule="exact"/>
        <w:rPr>
          <w:sz w:val="20"/>
          <w:szCs w:val="20"/>
          <w:color w:val="auto"/>
        </w:rPr>
      </w:pPr>
    </w:p>
    <w:p>
      <w:pPr>
        <w:ind w:left="1600" w:hanging="461"/>
        <w:spacing w:after="0" w:line="257" w:lineRule="auto"/>
        <w:tabs>
          <w:tab w:leader="none" w:pos="16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All reimbursements provided under this Agreement shall be made or provided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during a calendar year may not affect the expenses eligible for reimbursement in any other calendar year, (C) the reimbursement of an eligible expense will be made on or before the last day of the calendar year following the year in which the expense is incurred, and (D) the right to reimbursement is not subject to liquidation or exchange for another benefit. If expenses are incurred in connection with litigation, any reimbursements under the Agreement shall be paid not later than the end of the calendar year following the year in which the litigation is resolved.</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this Agreement has been executed as of the date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INTEGRA LIFESCIENCES</w:t>
            </w:r>
          </w:p>
        </w:tc>
        <w:tc>
          <w:tcPr>
            <w:tcW w:w="150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EXECUTIVE</w:t>
            </w:r>
          </w:p>
        </w:tc>
      </w:tr>
      <w:tr>
        <w:trPr>
          <w:trHeight w:val="165"/>
        </w:trPr>
        <w:tc>
          <w:tcPr>
            <w:tcW w:w="4780" w:type="dxa"/>
            <w:vAlign w:val="bottom"/>
            <w:gridSpan w:val="2"/>
          </w:tcPr>
          <w:p>
            <w:pPr>
              <w:spacing w:after="0"/>
              <w:rPr>
                <w:sz w:val="20"/>
                <w:szCs w:val="20"/>
                <w:color w:val="auto"/>
              </w:rPr>
            </w:pPr>
            <w:r>
              <w:rPr>
                <w:rFonts w:ascii="Arial" w:cs="Arial" w:eastAsia="Arial" w:hAnsi="Arial"/>
                <w:sz w:val="13"/>
                <w:szCs w:val="13"/>
                <w:color w:val="auto"/>
              </w:rPr>
              <w:t>EXECUTIVE HOLDINGS CORPORATION</w:t>
            </w:r>
          </w:p>
        </w:tc>
        <w:tc>
          <w:tcPr>
            <w:tcW w:w="150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315"/>
        </w:trPr>
        <w:tc>
          <w:tcPr>
            <w:tcW w:w="360" w:type="dxa"/>
            <w:vAlign w:val="bottom"/>
          </w:tcPr>
          <w:p>
            <w:pPr>
              <w:spacing w:after="0"/>
              <w:rPr>
                <w:sz w:val="20"/>
                <w:szCs w:val="20"/>
                <w:color w:val="auto"/>
              </w:rPr>
            </w:pPr>
            <w:r>
              <w:rPr>
                <w:rFonts w:ascii="Arial" w:cs="Arial" w:eastAsia="Arial" w:hAnsi="Arial"/>
                <w:sz w:val="13"/>
                <w:szCs w:val="13"/>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Stuart M. Essig</w:t>
            </w:r>
          </w:p>
        </w:tc>
        <w:tc>
          <w:tcPr>
            <w:tcW w:w="150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Judith E. O’Grady</w:t>
            </w:r>
          </w:p>
        </w:tc>
      </w:tr>
      <w:tr>
        <w:trPr>
          <w:trHeight w:val="157"/>
        </w:trPr>
        <w:tc>
          <w:tcPr>
            <w:tcW w:w="360" w:type="dxa"/>
            <w:vAlign w:val="bottom"/>
          </w:tcPr>
          <w:p>
            <w:pPr>
              <w:spacing w:after="0" w:line="145" w:lineRule="exact"/>
              <w:rPr>
                <w:sz w:val="20"/>
                <w:szCs w:val="20"/>
                <w:color w:val="auto"/>
              </w:rPr>
            </w:pPr>
            <w:r>
              <w:rPr>
                <w:rFonts w:ascii="Arial" w:cs="Arial" w:eastAsia="Arial" w:hAnsi="Arial"/>
                <w:sz w:val="13"/>
                <w:szCs w:val="13"/>
                <w:color w:val="auto"/>
              </w:rPr>
              <w:t>Its:</w:t>
            </w:r>
          </w:p>
        </w:tc>
        <w:tc>
          <w:tcPr>
            <w:tcW w:w="442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150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Judith E. O’Grady</w:t>
            </w:r>
          </w:p>
        </w:tc>
      </w:tr>
    </w:tbl>
    <w:p>
      <w:pPr>
        <w:sectPr>
          <w:pgSz w:w="11900" w:h="16838" w:orient="portrait"/>
          <w:cols w:equalWidth="0" w:num="1">
            <w:col w:w="11380"/>
          </w:cols>
          <w:pgMar w:left="220" w:top="720" w:right="2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b w:val="1"/>
          <w:bCs w:val="1"/>
          <w:color w:val="auto"/>
        </w:rPr>
        <w:t>Exhibit 10.28(b)</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Form for Essig Annual RSU Grant</w:t>
      </w:r>
      <w:r>
        <w:rPr>
          <w:rFonts w:ascii="Arial" w:cs="Arial" w:eastAsia="Arial" w:hAnsi="Arial"/>
          <w:sz w:val="13"/>
          <w:szCs w:val="13"/>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CONTRACT STOCK / RESTRICTED UNITS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2003 EQUITY INCENTIVE PLAN</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AGREEMENT, dated as of ____________, 20__, by and between Integra LifeSciences Holdings Corporation,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Stuart M. Essig (“</w:t>
      </w:r>
      <w:r>
        <w:rPr>
          <w:rFonts w:ascii="Arial" w:cs="Arial" w:eastAsia="Arial" w:hAnsi="Arial"/>
          <w:sz w:val="13"/>
          <w:szCs w:val="13"/>
          <w:u w:val="single" w:color="auto"/>
          <w:color w:val="auto"/>
        </w:rPr>
        <w:t>Executive</w:t>
      </w:r>
      <w:r>
        <w:rPr>
          <w:rFonts w:ascii="Arial" w:cs="Arial" w:eastAsia="Arial" w:hAnsi="Arial"/>
          <w:sz w:val="13"/>
          <w:szCs w:val="13"/>
          <w:color w:val="auto"/>
        </w:rPr>
        <w:t>”).</w:t>
      </w:r>
    </w:p>
    <w:p>
      <w:pPr>
        <w:spacing w:after="0" w:line="86" w:lineRule="exact"/>
        <w:rPr>
          <w:sz w:val="20"/>
          <w:szCs w:val="20"/>
          <w:color w:val="auto"/>
        </w:rPr>
      </w:pPr>
    </w:p>
    <w:p>
      <w:pPr>
        <w:ind w:right="60" w:firstLine="161"/>
        <w:spacing w:after="0" w:line="289" w:lineRule="auto"/>
        <w:rPr>
          <w:sz w:val="20"/>
          <w:szCs w:val="20"/>
          <w:color w:val="auto"/>
        </w:rPr>
      </w:pPr>
      <w:r>
        <w:rPr>
          <w:rFonts w:ascii="Arial" w:cs="Arial" w:eastAsia="Arial" w:hAnsi="Arial"/>
          <w:sz w:val="12"/>
          <w:szCs w:val="12"/>
          <w:color w:val="auto"/>
        </w:rPr>
        <w:t>WHEREAS, the Company and Executive previously entered into that certain Second Amended and Restated Employment Agreement dated as of July 27, 2004, as amended by Amendment 2006-1 to the Second Amended and Restated Employment Agreement, Amendment 2008-1 to the Second Amended and Restated Employment Agreement, Amendment 2008-2 to the Second Amended and Restated Employment Agreement and Amendment 2009-1 to the Second Amended and Restated Employment Agreement (such Second Amended and Restated Employment Agreement, as so amended being hereinafter called the “</w:t>
      </w:r>
      <w:r>
        <w:rPr>
          <w:rFonts w:ascii="Arial" w:cs="Arial" w:eastAsia="Arial" w:hAnsi="Arial"/>
          <w:sz w:val="12"/>
          <w:szCs w:val="12"/>
          <w:u w:val="single" w:color="auto"/>
          <w:color w:val="auto"/>
        </w:rPr>
        <w:t>Employment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 pursuant to which Executive will continue to serve as Chief Executive Officer of the Company, on the terms and conditions set forth and described therein;</w:t>
      </w:r>
    </w:p>
    <w:p>
      <w:pPr>
        <w:spacing w:after="0" w:line="43" w:lineRule="exact"/>
        <w:rPr>
          <w:sz w:val="20"/>
          <w:szCs w:val="20"/>
          <w:color w:val="auto"/>
        </w:rPr>
      </w:pPr>
    </w:p>
    <w:p>
      <w:pPr>
        <w:ind w:right="420" w:firstLine="161"/>
        <w:spacing w:after="0" w:line="276" w:lineRule="auto"/>
        <w:rPr>
          <w:sz w:val="20"/>
          <w:szCs w:val="20"/>
          <w:color w:val="auto"/>
        </w:rPr>
      </w:pPr>
      <w:r>
        <w:rPr>
          <w:rFonts w:ascii="Arial" w:cs="Arial" w:eastAsia="Arial" w:hAnsi="Arial"/>
          <w:sz w:val="13"/>
          <w:szCs w:val="13"/>
          <w:color w:val="auto"/>
        </w:rPr>
        <w:t>WHEREAS, pursuant to the Employment Agreement, the Company has agreed to grant to Executive an annual equity-based award under the Integra LifeSciences Holdings Corporation Second Amended and Restated 2003 Equity Incentive Plan (the “</w:t>
      </w:r>
      <w:r>
        <w:rPr>
          <w:rFonts w:ascii="Arial" w:cs="Arial" w:eastAsia="Arial" w:hAnsi="Arial"/>
          <w:sz w:val="13"/>
          <w:szCs w:val="13"/>
          <w:u w:val="single" w:color="auto"/>
          <w:color w:val="auto"/>
        </w:rPr>
        <w:t>2003 Plan</w:t>
      </w:r>
      <w:r>
        <w:rPr>
          <w:rFonts w:ascii="Arial" w:cs="Arial" w:eastAsia="Arial" w:hAnsi="Arial"/>
          <w:sz w:val="13"/>
          <w:szCs w:val="13"/>
          <w:color w:val="auto"/>
        </w:rPr>
        <w:t>”), the terms of which are hereby incorporated by reference and made a part of this Agreement; and</w:t>
      </w:r>
    </w:p>
    <w:p>
      <w:pPr>
        <w:spacing w:after="0" w:line="49" w:lineRule="exact"/>
        <w:rPr>
          <w:sz w:val="20"/>
          <w:szCs w:val="20"/>
          <w:color w:val="auto"/>
        </w:rPr>
      </w:pPr>
    </w:p>
    <w:p>
      <w:pPr>
        <w:ind w:right="60" w:firstLine="161"/>
        <w:spacing w:after="0" w:line="296" w:lineRule="auto"/>
        <w:rPr>
          <w:sz w:val="20"/>
          <w:szCs w:val="20"/>
          <w:color w:val="auto"/>
        </w:rPr>
      </w:pPr>
      <w:r>
        <w:rPr>
          <w:rFonts w:ascii="Arial" w:cs="Arial" w:eastAsia="Arial" w:hAnsi="Arial"/>
          <w:sz w:val="12"/>
          <w:szCs w:val="12"/>
          <w:color w:val="auto"/>
        </w:rPr>
        <w:t>WHEREAS, the Compensation Committee of the Board of Directors of the Company, appointed to administer the 2003 Plan, has determined that it would be to the advantage and in the best interest of the Company and its stockholders to grant to the Executive an annual award for [INSERT YEAR] of an aggregate of [_________] (_________________) shares of contract stock in the form of restricted units (the “</w:t>
      </w:r>
      <w:r>
        <w:rPr>
          <w:rFonts w:ascii="Arial" w:cs="Arial" w:eastAsia="Arial" w:hAnsi="Arial"/>
          <w:sz w:val="12"/>
          <w:szCs w:val="12"/>
          <w:u w:val="single" w:color="auto"/>
          <w:color w:val="auto"/>
        </w:rPr>
        <w:t>Units</w:t>
      </w:r>
      <w:r>
        <w:rPr>
          <w:rFonts w:ascii="Arial" w:cs="Arial" w:eastAsia="Arial" w:hAnsi="Arial"/>
          <w:sz w:val="12"/>
          <w:szCs w:val="12"/>
          <w:color w:val="auto"/>
        </w:rPr>
        <w:t>”) representing the right to receive an equal number of shares of common stock of the Company, par value $.01 per share (“</w:t>
      </w:r>
      <w:r>
        <w:rPr>
          <w:rFonts w:ascii="Arial" w:cs="Arial" w:eastAsia="Arial" w:hAnsi="Arial"/>
          <w:sz w:val="12"/>
          <w:szCs w:val="12"/>
          <w:u w:val="single" w:color="auto"/>
          <w:color w:val="auto"/>
        </w:rPr>
        <w:t>Common Stock</w:t>
      </w:r>
      <w:r>
        <w:rPr>
          <w:rFonts w:ascii="Arial" w:cs="Arial" w:eastAsia="Arial" w:hAnsi="Arial"/>
          <w:sz w:val="12"/>
          <w:szCs w:val="12"/>
          <w:color w:val="auto"/>
        </w:rPr>
        <w:t>”), on the terms and conditions set forth herein.</w:t>
      </w:r>
    </w:p>
    <w:p>
      <w:pPr>
        <w:spacing w:after="0" w:line="40"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NOW, THEREFORE, in consideration of the mutual covenants hereinafter set forth and for other good and valuable consideration the legal sufficiency of which is hereby acknowledged, the parties hereto, intending to be legally bound hereby, agree as follows:</w:t>
      </w:r>
    </w:p>
    <w:p>
      <w:pPr>
        <w:spacing w:after="0" w:line="49" w:lineRule="exact"/>
        <w:rPr>
          <w:sz w:val="20"/>
          <w:szCs w:val="20"/>
          <w:color w:val="auto"/>
        </w:rPr>
      </w:pPr>
    </w:p>
    <w:p>
      <w:pPr>
        <w:ind w:left="300" w:hanging="138"/>
        <w:spacing w:after="0"/>
        <w:tabs>
          <w:tab w:leader="none" w:pos="300"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Capitalized terms not otherwise defined herein shall have the meaning set forth in the Employment Agreement or the 2003 Plan, as applicable, unless otherwise indicated.</w:t>
      </w:r>
    </w:p>
    <w:p>
      <w:pPr>
        <w:spacing w:after="0" w:line="86" w:lineRule="exact"/>
        <w:rPr>
          <w:rFonts w:ascii="Arial" w:cs="Arial" w:eastAsia="Arial" w:hAnsi="Arial"/>
          <w:sz w:val="13"/>
          <w:szCs w:val="13"/>
          <w:color w:val="auto"/>
        </w:rPr>
      </w:pPr>
    </w:p>
    <w:p>
      <w:pPr>
        <w:ind w:right="300" w:firstLine="162"/>
        <w:spacing w:after="0" w:line="276" w:lineRule="auto"/>
        <w:tabs>
          <w:tab w:leader="none" w:pos="295"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Grant of Units</w:t>
      </w:r>
      <w:r>
        <w:rPr>
          <w:rFonts w:ascii="Arial" w:cs="Arial" w:eastAsia="Arial" w:hAnsi="Arial"/>
          <w:sz w:val="13"/>
          <w:szCs w:val="13"/>
          <w:color w:val="auto"/>
        </w:rPr>
        <w:t>. Pursuant to Section 3.2(c)(i)(C) of the Employment Agreement, Executive is hereby granted, as of ____________, 20__ (the “</w:t>
      </w:r>
      <w:r>
        <w:rPr>
          <w:rFonts w:ascii="Arial" w:cs="Arial" w:eastAsia="Arial" w:hAnsi="Arial"/>
          <w:sz w:val="13"/>
          <w:szCs w:val="13"/>
          <w:u w:val="single" w:color="auto"/>
          <w:color w:val="auto"/>
        </w:rPr>
        <w:t>Grant Date</w:t>
      </w:r>
      <w:r>
        <w:rPr>
          <w:rFonts w:ascii="Arial" w:cs="Arial" w:eastAsia="Arial" w:hAnsi="Arial"/>
          <w:sz w:val="13"/>
          <w:szCs w:val="13"/>
          <w:color w:val="auto"/>
        </w:rPr>
        <w:t>”), deferred compensation in the form of [_________] [(_________________)] Units pursuant to the terms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color w:val="auto"/>
        </w:rPr>
        <w:t>this Agreement and the 2003 Plan. The Executive’s right to receive the shares of Common Stock underlying the Units shall be subject to forfeiture as provided in Section 4 of this Agreement.</w:t>
      </w:r>
    </w:p>
    <w:p>
      <w:pPr>
        <w:spacing w:after="0" w:line="86" w:lineRule="exact"/>
        <w:rPr>
          <w:sz w:val="20"/>
          <w:szCs w:val="20"/>
          <w:color w:val="auto"/>
        </w:rPr>
      </w:pPr>
    </w:p>
    <w:p>
      <w:pPr>
        <w:ind w:left="300" w:hanging="138"/>
        <w:spacing w:after="0"/>
        <w:tabs>
          <w:tab w:leader="none" w:pos="300"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Vesting</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65"/>
        </w:numPr>
        <w:rPr>
          <w:rFonts w:ascii="Arial" w:cs="Arial" w:eastAsia="Arial" w:hAnsi="Arial"/>
          <w:sz w:val="13"/>
          <w:szCs w:val="13"/>
          <w:color w:val="auto"/>
        </w:rPr>
      </w:pPr>
      <w:r>
        <w:rPr>
          <w:rFonts w:ascii="Arial" w:cs="Arial" w:eastAsia="Arial" w:hAnsi="Arial"/>
          <w:sz w:val="13"/>
          <w:szCs w:val="13"/>
          <w:color w:val="auto"/>
        </w:rPr>
        <w:t>Subject to paragraph (b) and Section 4 below, the Units shall vest in cumulative installments as follows:</w:t>
      </w:r>
    </w:p>
    <w:p>
      <w:pPr>
        <w:spacing w:after="0" w:line="20" w:lineRule="exact"/>
        <w:rPr>
          <w:rFonts w:ascii="Arial" w:cs="Arial" w:eastAsia="Arial" w:hAnsi="Arial"/>
          <w:sz w:val="13"/>
          <w:szCs w:val="13"/>
          <w:color w:val="auto"/>
        </w:rPr>
      </w:pPr>
    </w:p>
    <w:p>
      <w:pPr>
        <w:ind w:left="780" w:hanging="159"/>
        <w:spacing w:after="0"/>
        <w:tabs>
          <w:tab w:leader="none" w:pos="780" w:val="left"/>
        </w:tabs>
        <w:numPr>
          <w:ilvl w:val="2"/>
          <w:numId w:val="65"/>
        </w:numPr>
        <w:rPr>
          <w:rFonts w:ascii="Arial" w:cs="Arial" w:eastAsia="Arial" w:hAnsi="Arial"/>
          <w:sz w:val="13"/>
          <w:szCs w:val="13"/>
          <w:color w:val="auto"/>
        </w:rPr>
      </w:pPr>
      <w:r>
        <w:rPr>
          <w:rFonts w:ascii="Arial" w:cs="Arial" w:eastAsia="Arial" w:hAnsi="Arial"/>
          <w:sz w:val="13"/>
          <w:szCs w:val="13"/>
          <w:color w:val="auto"/>
        </w:rPr>
        <w:t>One-third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21"/>
          <w:szCs w:val="21"/>
          <w:color w:val="auto"/>
          <w:vertAlign w:val="subscript"/>
        </w:rPr>
        <w:t>3</w:t>
      </w:r>
      <w:r>
        <w:rPr>
          <w:rFonts w:ascii="Arial" w:cs="Arial" w:eastAsia="Arial" w:hAnsi="Arial"/>
          <w:sz w:val="13"/>
          <w:szCs w:val="13"/>
          <w:color w:val="auto"/>
        </w:rPr>
        <w:t>) of the Units shall vest on the first anniversary of the Grant Date;</w:t>
      </w:r>
    </w:p>
    <w:p>
      <w:pPr>
        <w:spacing w:after="0" w:line="109" w:lineRule="exact"/>
        <w:rPr>
          <w:rFonts w:ascii="Arial" w:cs="Arial" w:eastAsia="Arial" w:hAnsi="Arial"/>
          <w:sz w:val="13"/>
          <w:szCs w:val="13"/>
          <w:color w:val="auto"/>
        </w:rPr>
      </w:pPr>
    </w:p>
    <w:p>
      <w:pPr>
        <w:ind w:left="820" w:hanging="199"/>
        <w:spacing w:after="0"/>
        <w:tabs>
          <w:tab w:leader="none" w:pos="820" w:val="left"/>
        </w:tabs>
        <w:numPr>
          <w:ilvl w:val="2"/>
          <w:numId w:val="65"/>
        </w:numPr>
        <w:rPr>
          <w:rFonts w:ascii="Arial" w:cs="Arial" w:eastAsia="Arial" w:hAnsi="Arial"/>
          <w:sz w:val="13"/>
          <w:szCs w:val="13"/>
          <w:color w:val="auto"/>
        </w:rPr>
      </w:pPr>
      <w:r>
        <w:rPr>
          <w:rFonts w:ascii="Arial" w:cs="Arial" w:eastAsia="Arial" w:hAnsi="Arial"/>
          <w:sz w:val="13"/>
          <w:szCs w:val="13"/>
          <w:color w:val="auto"/>
        </w:rPr>
        <w:t>One-third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21"/>
          <w:szCs w:val="21"/>
          <w:color w:val="auto"/>
          <w:vertAlign w:val="subscript"/>
        </w:rPr>
        <w:t>3</w:t>
      </w:r>
      <w:r>
        <w:rPr>
          <w:rFonts w:ascii="Arial" w:cs="Arial" w:eastAsia="Arial" w:hAnsi="Arial"/>
          <w:sz w:val="13"/>
          <w:szCs w:val="13"/>
          <w:color w:val="auto"/>
        </w:rPr>
        <w:t>) of the Units shall vest on the second anniversary of the Grant Date; and</w:t>
      </w:r>
    </w:p>
    <w:p>
      <w:pPr>
        <w:spacing w:after="0" w:line="33" w:lineRule="exact"/>
        <w:rPr>
          <w:rFonts w:ascii="Arial" w:cs="Arial" w:eastAsia="Arial" w:hAnsi="Arial"/>
          <w:sz w:val="13"/>
          <w:szCs w:val="13"/>
          <w:color w:val="auto"/>
        </w:rPr>
      </w:pPr>
    </w:p>
    <w:p>
      <w:pPr>
        <w:ind w:left="860" w:hanging="239"/>
        <w:spacing w:after="0"/>
        <w:tabs>
          <w:tab w:leader="none" w:pos="860" w:val="left"/>
        </w:tabs>
        <w:numPr>
          <w:ilvl w:val="2"/>
          <w:numId w:val="65"/>
        </w:numPr>
        <w:rPr>
          <w:rFonts w:ascii="Arial" w:cs="Arial" w:eastAsia="Arial" w:hAnsi="Arial"/>
          <w:sz w:val="13"/>
          <w:szCs w:val="13"/>
          <w:color w:val="auto"/>
        </w:rPr>
      </w:pPr>
      <w:r>
        <w:rPr>
          <w:rFonts w:ascii="Arial" w:cs="Arial" w:eastAsia="Arial" w:hAnsi="Arial"/>
          <w:sz w:val="13"/>
          <w:szCs w:val="13"/>
          <w:color w:val="auto"/>
        </w:rPr>
        <w:t>One-third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21"/>
          <w:szCs w:val="21"/>
          <w:color w:val="auto"/>
          <w:vertAlign w:val="subscript"/>
        </w:rPr>
        <w:t>3</w:t>
      </w:r>
      <w:r>
        <w:rPr>
          <w:rFonts w:ascii="Arial" w:cs="Arial" w:eastAsia="Arial" w:hAnsi="Arial"/>
          <w:sz w:val="13"/>
          <w:szCs w:val="13"/>
          <w:color w:val="auto"/>
        </w:rPr>
        <w:t>) of the Units shall vest on the third anniversary of the Grant Date;</w:t>
      </w:r>
    </w:p>
    <w:p>
      <w:pPr>
        <w:spacing w:after="0" w:line="33" w:lineRule="exact"/>
        <w:rPr>
          <w:rFonts w:ascii="Arial" w:cs="Arial" w:eastAsia="Arial" w:hAnsi="Arial"/>
          <w:sz w:val="13"/>
          <w:szCs w:val="13"/>
          <w:color w:val="auto"/>
        </w:rPr>
      </w:pPr>
    </w:p>
    <w:p>
      <w:pPr>
        <w:ind w:left="520" w:hanging="194"/>
        <w:spacing w:after="0"/>
        <w:tabs>
          <w:tab w:leader="none" w:pos="520" w:val="left"/>
        </w:tabs>
        <w:numPr>
          <w:ilvl w:val="1"/>
          <w:numId w:val="65"/>
        </w:numPr>
        <w:rPr>
          <w:rFonts w:ascii="Arial" w:cs="Arial" w:eastAsia="Arial" w:hAnsi="Arial"/>
          <w:sz w:val="13"/>
          <w:szCs w:val="13"/>
          <w:color w:val="auto"/>
        </w:rPr>
      </w:pPr>
      <w:r>
        <w:rPr>
          <w:rFonts w:ascii="Arial" w:cs="Arial" w:eastAsia="Arial" w:hAnsi="Arial"/>
          <w:sz w:val="13"/>
          <w:szCs w:val="13"/>
          <w:color w:val="auto"/>
        </w:rPr>
        <w:t>One hundred percent (100%) of the then outstanding Units shall vest in the event that:</w:t>
      </w:r>
    </w:p>
    <w:p>
      <w:pPr>
        <w:spacing w:after="0" w:line="76" w:lineRule="exact"/>
        <w:rPr>
          <w:rFonts w:ascii="Arial" w:cs="Arial" w:eastAsia="Arial" w:hAnsi="Arial"/>
          <w:sz w:val="13"/>
          <w:szCs w:val="13"/>
          <w:color w:val="auto"/>
        </w:rPr>
      </w:pPr>
    </w:p>
    <w:p>
      <w:pPr>
        <w:ind w:left="460" w:firstLine="161"/>
        <w:spacing w:after="0" w:line="260" w:lineRule="auto"/>
        <w:tabs>
          <w:tab w:leader="none" w:pos="780" w:val="left"/>
        </w:tabs>
        <w:numPr>
          <w:ilvl w:val="2"/>
          <w:numId w:val="65"/>
        </w:numPr>
        <w:rPr>
          <w:rFonts w:ascii="Arial" w:cs="Arial" w:eastAsia="Arial" w:hAnsi="Arial"/>
          <w:sz w:val="13"/>
          <w:szCs w:val="13"/>
          <w:color w:val="auto"/>
        </w:rPr>
      </w:pPr>
      <w:r>
        <w:rPr>
          <w:rFonts w:ascii="Arial" w:cs="Arial" w:eastAsia="Arial" w:hAnsi="Arial"/>
          <w:sz w:val="13"/>
          <w:szCs w:val="13"/>
          <w:color w:val="auto"/>
        </w:rPr>
        <w:t>Executive incurs a Termination of Service (as defined below) (1) by the Company without “Cause” (as defined in Section 4.3 of the Employment Agreement), (2) by the Executive for “Good Reason” (as defined in Section 4.4 of the Employment Agreement), (3) by reason of a “Disability Termination” (as defined in Section 4.2 of the Employment Agreement), (4) by reason of the Executive’s death, (5) as a result of the Employment Agreement (or the Executive’s successor employment agreement with the Company, if any) not being amended, renewed or replaced by a new employment agreement upon the expiration of such agreement on December 31, 2011 or the Extended Expiration Date (as defined below), as applicable; or</w:t>
      </w:r>
    </w:p>
    <w:p>
      <w:pPr>
        <w:spacing w:after="0" w:line="59" w:lineRule="exact"/>
        <w:rPr>
          <w:rFonts w:ascii="Arial" w:cs="Arial" w:eastAsia="Arial" w:hAnsi="Arial"/>
          <w:sz w:val="13"/>
          <w:szCs w:val="13"/>
          <w:color w:val="auto"/>
        </w:rPr>
      </w:pPr>
    </w:p>
    <w:p>
      <w:pPr>
        <w:ind w:left="820" w:hanging="199"/>
        <w:spacing w:after="0"/>
        <w:tabs>
          <w:tab w:leader="none" w:pos="820" w:val="left"/>
        </w:tabs>
        <w:numPr>
          <w:ilvl w:val="2"/>
          <w:numId w:val="65"/>
        </w:numPr>
        <w:rPr>
          <w:rFonts w:ascii="Arial" w:cs="Arial" w:eastAsia="Arial" w:hAnsi="Arial"/>
          <w:sz w:val="13"/>
          <w:szCs w:val="13"/>
          <w:color w:val="auto"/>
        </w:rPr>
      </w:pPr>
      <w:r>
        <w:rPr>
          <w:rFonts w:ascii="Arial" w:cs="Arial" w:eastAsia="Arial" w:hAnsi="Arial"/>
          <w:sz w:val="13"/>
          <w:szCs w:val="13"/>
          <w:color w:val="auto"/>
        </w:rPr>
        <w:t>a “Change in Control” (as defined in the Employment Agreement) that occurs prior to the Executive’s Termination of Service.</w:t>
      </w:r>
    </w:p>
    <w:p>
      <w:pPr>
        <w:spacing w:after="0" w:line="86" w:lineRule="exact"/>
        <w:rPr>
          <w:rFonts w:ascii="Arial" w:cs="Arial" w:eastAsia="Arial" w:hAnsi="Arial"/>
          <w:sz w:val="13"/>
          <w:szCs w:val="13"/>
          <w:color w:val="auto"/>
        </w:rPr>
      </w:pPr>
    </w:p>
    <w:p>
      <w:pPr>
        <w:ind w:firstLine="326"/>
        <w:spacing w:after="0" w:line="258" w:lineRule="auto"/>
        <w:tabs>
          <w:tab w:leader="none" w:pos="506" w:val="left"/>
        </w:tabs>
        <w:numPr>
          <w:ilvl w:val="1"/>
          <w:numId w:val="65"/>
        </w:numPr>
        <w:rPr>
          <w:rFonts w:ascii="Arial" w:cs="Arial" w:eastAsia="Arial" w:hAnsi="Arial"/>
          <w:sz w:val="13"/>
          <w:szCs w:val="13"/>
          <w:color w:val="auto"/>
        </w:rPr>
      </w:pPr>
      <w:r>
        <w:rPr>
          <w:rFonts w:ascii="Arial" w:cs="Arial" w:eastAsia="Arial" w:hAnsi="Arial"/>
          <w:sz w:val="13"/>
          <w:szCs w:val="13"/>
          <w:color w:val="auto"/>
        </w:rPr>
        <w:t>For purposes of this Agreement, (1) “</w:t>
      </w:r>
      <w:r>
        <w:rPr>
          <w:rFonts w:ascii="Arial" w:cs="Arial" w:eastAsia="Arial" w:hAnsi="Arial"/>
          <w:sz w:val="13"/>
          <w:szCs w:val="13"/>
          <w:u w:val="single" w:color="auto"/>
          <w:color w:val="auto"/>
        </w:rPr>
        <w:t>Termination of Service</w:t>
      </w:r>
      <w:r>
        <w:rPr>
          <w:rFonts w:ascii="Arial" w:cs="Arial" w:eastAsia="Arial" w:hAnsi="Arial"/>
          <w:sz w:val="13"/>
          <w:szCs w:val="13"/>
          <w:color w:val="auto"/>
        </w:rPr>
        <w:t>” shall mean the time when the Executive ceases to 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Executive is simultaneously reemployed by, or remains employed by, or continues to provide services to, the Company and/or one or more of its Related Corporations and Affiliates or a successor entity thereto; and (2) “</w:t>
      </w:r>
      <w:r>
        <w:rPr>
          <w:rFonts w:ascii="Arial" w:cs="Arial" w:eastAsia="Arial" w:hAnsi="Arial"/>
          <w:sz w:val="13"/>
          <w:szCs w:val="13"/>
          <w:u w:val="single" w:color="auto"/>
          <w:color w:val="auto"/>
        </w:rPr>
        <w:t>Extended Expiration Date</w:t>
      </w:r>
      <w:r>
        <w:rPr>
          <w:rFonts w:ascii="Arial" w:cs="Arial" w:eastAsia="Arial" w:hAnsi="Arial"/>
          <w:sz w:val="13"/>
          <w:szCs w:val="13"/>
          <w:color w:val="auto"/>
        </w:rPr>
        <w:t>” shall mean, in the event that the Executive and the Company enter into (including by way of an automatic extension) a new, amended or renewed employment agreement on or prior to December 31, 2011, the last day of the term of such new, amended or renewed employment agreement.</w:t>
      </w:r>
    </w:p>
    <w:p>
      <w:pPr>
        <w:spacing w:after="0" w:line="61" w:lineRule="exact"/>
        <w:rPr>
          <w:rFonts w:ascii="Arial" w:cs="Arial" w:eastAsia="Arial" w:hAnsi="Arial"/>
          <w:sz w:val="13"/>
          <w:szCs w:val="13"/>
          <w:color w:val="auto"/>
        </w:rPr>
      </w:pPr>
    </w:p>
    <w:p>
      <w:pPr>
        <w:ind w:left="300" w:hanging="138"/>
        <w:spacing w:after="0"/>
        <w:tabs>
          <w:tab w:leader="none" w:pos="300"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Forfeiture of Units</w:t>
      </w:r>
      <w:r>
        <w:rPr>
          <w:rFonts w:ascii="Arial" w:cs="Arial" w:eastAsia="Arial" w:hAnsi="Arial"/>
          <w:sz w:val="13"/>
          <w:szCs w:val="13"/>
          <w:color w:val="auto"/>
        </w:rPr>
        <w:t>. Immediately upon a Termination of Service for any reason other than the Executive’s death or Disability, the Executive shall forfeit any and all Units which have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21" w:name="page122"/>
    <w:bookmarkEnd w:id="121"/>
    <w:p>
      <w:pPr>
        <w:ind w:right="400"/>
        <w:spacing w:after="0" w:line="276" w:lineRule="auto"/>
        <w:rPr>
          <w:sz w:val="20"/>
          <w:szCs w:val="20"/>
          <w:color w:val="auto"/>
        </w:rPr>
      </w:pPr>
      <w:r>
        <w:rPr>
          <w:rFonts w:ascii="Arial" w:cs="Arial" w:eastAsia="Arial" w:hAnsi="Arial"/>
          <w:sz w:val="13"/>
          <w:szCs w:val="13"/>
          <w:color w:val="auto"/>
        </w:rPr>
        <w:t>not vested or do not vest on or prior to such termination, and the Executive’s rights in any such Units which are not so vested shall terminate, lapse and expire (including the Executive’s right to receive the shares underlying such Units).</w:t>
      </w:r>
    </w:p>
    <w:p>
      <w:pPr>
        <w:spacing w:after="0" w:line="49" w:lineRule="exact"/>
        <w:rPr>
          <w:sz w:val="20"/>
          <w:szCs w:val="20"/>
          <w:color w:val="auto"/>
        </w:rPr>
      </w:pPr>
    </w:p>
    <w:p>
      <w:pPr>
        <w:ind w:firstLine="162"/>
        <w:spacing w:after="0" w:line="255" w:lineRule="auto"/>
        <w:tabs>
          <w:tab w:leader="none" w:pos="295"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Dividend Equivalents</w:t>
      </w:r>
      <w:r>
        <w:rPr>
          <w:rFonts w:ascii="Arial" w:cs="Arial" w:eastAsia="Arial" w:hAnsi="Arial"/>
          <w:sz w:val="13"/>
          <w:szCs w:val="13"/>
          <w:color w:val="auto"/>
        </w:rPr>
        <w:t>. Executive shall be entitled to receive, with respect to all outstanding vested Units (as such Units may be adjusted under Section 8), dividend equivalent amounts equal to the regular quarterly cash dividend payable to holders of Common Stock (to the extent regular quarterly cash dividends are paid) as if Executive were an actual shareholder with respect to the number of shares of Common Stock equal to his outstanding vested Units. Such dividend equivalent amounts shall be aggregated on a quarterly basis while the Units are outstanding and paid to Executive within thirty (30) days following the first business day that occurs immediately following the 6-month period after the date of Executive’s “separation from service” from the Company (within the meaning of Section 409A(a)(2)(A)(i) of the Internal Revenue Code of 1986, as amended (the “</w:t>
      </w:r>
      <w:r>
        <w:rPr>
          <w:rFonts w:ascii="Arial" w:cs="Arial" w:eastAsia="Arial" w:hAnsi="Arial"/>
          <w:sz w:val="13"/>
          <w:szCs w:val="13"/>
          <w:u w:val="single" w:color="auto"/>
          <w:color w:val="auto"/>
        </w:rPr>
        <w:t>Code</w:t>
      </w:r>
      <w:r>
        <w:rPr>
          <w:rFonts w:ascii="Arial" w:cs="Arial" w:eastAsia="Arial" w:hAnsi="Arial"/>
          <w:sz w:val="13"/>
          <w:szCs w:val="13"/>
          <w:color w:val="auto"/>
        </w:rPr>
        <w:t>”) and its corresponding regulations) (a “</w:t>
      </w:r>
      <w:r>
        <w:rPr>
          <w:rFonts w:ascii="Arial" w:cs="Arial" w:eastAsia="Arial" w:hAnsi="Arial"/>
          <w:sz w:val="13"/>
          <w:szCs w:val="13"/>
          <w:u w:val="single" w:color="auto"/>
          <w:color w:val="auto"/>
        </w:rPr>
        <w:t>Separation from Service</w:t>
      </w:r>
      <w:r>
        <w:rPr>
          <w:rFonts w:ascii="Arial" w:cs="Arial" w:eastAsia="Arial" w:hAnsi="Arial"/>
          <w:sz w:val="13"/>
          <w:szCs w:val="13"/>
          <w:color w:val="auto"/>
        </w:rPr>
        <w:t>”). For the avoidance of doubt, such dividend equivalent amounts shall only be paid with respect to Units that are vested as of the applicable dividend payment date, and Executive shall not be entitled to receive any dividend equivalent amounts with respect to Units that are not vested as of such dividend payment date. The dividend equivalents and any amounts that may become payable in respect thereof shall be treated separately from the Units and the rights arising in connection therewith for purposes of the designation of time and form of payments required by Code Section 409A.</w:t>
      </w:r>
    </w:p>
    <w:p>
      <w:pPr>
        <w:spacing w:after="0" w:line="66" w:lineRule="exact"/>
        <w:rPr>
          <w:rFonts w:ascii="Arial" w:cs="Arial" w:eastAsia="Arial" w:hAnsi="Arial"/>
          <w:sz w:val="13"/>
          <w:szCs w:val="13"/>
          <w:color w:val="auto"/>
        </w:rPr>
      </w:pPr>
    </w:p>
    <w:p>
      <w:pPr>
        <w:ind w:left="300" w:hanging="138"/>
        <w:spacing w:after="0"/>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Payment of Units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180" w:firstLine="326"/>
        <w:spacing w:after="0" w:line="276" w:lineRule="auto"/>
        <w:tabs>
          <w:tab w:leader="none" w:pos="503"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shares of Common Stock underlying Units which are then vested under Section 3(a) or 3(b) (the “</w:t>
      </w:r>
      <w:r>
        <w:rPr>
          <w:rFonts w:ascii="Arial" w:cs="Arial" w:eastAsia="Arial" w:hAnsi="Arial"/>
          <w:sz w:val="13"/>
          <w:szCs w:val="13"/>
          <w:u w:val="single" w:color="auto"/>
          <w:color w:val="auto"/>
        </w:rPr>
        <w:t>Unit Shares</w:t>
      </w:r>
      <w:r>
        <w:rPr>
          <w:rFonts w:ascii="Arial" w:cs="Arial" w:eastAsia="Arial" w:hAnsi="Arial"/>
          <w:sz w:val="13"/>
          <w:szCs w:val="13"/>
          <w:color w:val="auto"/>
        </w:rPr>
        <w:t>”) shall be paid out to Executive within thirty (30) days following the first business day that occurs immediately following the 6-month period after the date of Executive’s Separation from Service.</w:t>
      </w:r>
    </w:p>
    <w:p>
      <w:pPr>
        <w:spacing w:after="0" w:line="49" w:lineRule="exact"/>
        <w:rPr>
          <w:rFonts w:ascii="Arial" w:cs="Arial" w:eastAsia="Arial" w:hAnsi="Arial"/>
          <w:sz w:val="13"/>
          <w:szCs w:val="13"/>
          <w:color w:val="auto"/>
        </w:rPr>
      </w:pPr>
    </w:p>
    <w:p>
      <w:pPr>
        <w:ind w:right="500" w:firstLine="326"/>
        <w:spacing w:after="0" w:line="276" w:lineRule="auto"/>
        <w:tabs>
          <w:tab w:leader="none" w:pos="506" w:val="left"/>
        </w:tabs>
        <w:numPr>
          <w:ilvl w:val="1"/>
          <w:numId w:val="66"/>
        </w:numPr>
        <w:rPr>
          <w:rFonts w:ascii="Arial" w:cs="Arial" w:eastAsia="Arial" w:hAnsi="Arial"/>
          <w:sz w:val="13"/>
          <w:szCs w:val="13"/>
          <w:color w:val="auto"/>
        </w:rPr>
      </w:pPr>
      <w:r>
        <w:rPr>
          <w:rFonts w:ascii="Arial" w:cs="Arial" w:eastAsia="Arial" w:hAnsi="Arial"/>
          <w:sz w:val="13"/>
          <w:szCs w:val="13"/>
          <w:color w:val="auto"/>
        </w:rPr>
        <w:t>All payments of Unit Shares shall be made by the Company in the form of whole shares of Common Stock, and any fractional share shall be distributed in cash in an amount equal to the value of such fractional share determined based on the Fair Market Value (as defined in the 2003 Plan) as of the date immediately prior to such distribution.</w:t>
      </w:r>
    </w:p>
    <w:p>
      <w:pPr>
        <w:spacing w:after="0" w:line="49" w:lineRule="exact"/>
        <w:rPr>
          <w:rFonts w:ascii="Arial" w:cs="Arial" w:eastAsia="Arial" w:hAnsi="Arial"/>
          <w:sz w:val="13"/>
          <w:szCs w:val="13"/>
          <w:color w:val="auto"/>
        </w:rPr>
      </w:pPr>
    </w:p>
    <w:p>
      <w:pPr>
        <w:ind w:firstLine="326"/>
        <w:spacing w:after="0" w:line="296" w:lineRule="auto"/>
        <w:tabs>
          <w:tab w:leader="none" w:pos="498" w:val="left"/>
        </w:tabs>
        <w:numPr>
          <w:ilvl w:val="1"/>
          <w:numId w:val="66"/>
        </w:numPr>
        <w:rPr>
          <w:rFonts w:ascii="Arial" w:cs="Arial" w:eastAsia="Arial" w:hAnsi="Arial"/>
          <w:sz w:val="12"/>
          <w:szCs w:val="12"/>
          <w:color w:val="auto"/>
        </w:rPr>
      </w:pPr>
      <w:r>
        <w:rPr>
          <w:rFonts w:ascii="Arial" w:cs="Arial" w:eastAsia="Arial" w:hAnsi="Arial"/>
          <w:sz w:val="12"/>
          <w:szCs w:val="12"/>
          <w:color w:val="auto"/>
        </w:rPr>
        <w:t>Any Unit Shares delivered shall be deposited in an account designated by Executive and maintained at a brokerage house selected by Executive. Any such Unit Shares shall be duly authorized, fully paid and non-assessable shares, listed with NASDAQ or the principal United States securities exchange on which the Common Stock is admitted to trading and, so long as the Company is required to file reports under Section 13 or 15(d) of the Securities Exchange Act of 1934, registered on a Form S-8 registration statement maintained by the Company, if registration is requested by Executive.</w:t>
      </w:r>
    </w:p>
    <w:p>
      <w:pPr>
        <w:spacing w:after="0" w:line="39" w:lineRule="exact"/>
        <w:rPr>
          <w:rFonts w:ascii="Arial" w:cs="Arial" w:eastAsia="Arial" w:hAnsi="Arial"/>
          <w:sz w:val="12"/>
          <w:szCs w:val="12"/>
          <w:color w:val="auto"/>
        </w:rPr>
      </w:pPr>
    </w:p>
    <w:p>
      <w:pPr>
        <w:ind w:right="60" w:firstLine="326"/>
        <w:spacing w:after="0" w:line="276" w:lineRule="auto"/>
        <w:tabs>
          <w:tab w:leader="none" w:pos="513" w:val="left"/>
        </w:tabs>
        <w:numPr>
          <w:ilvl w:val="1"/>
          <w:numId w:val="66"/>
        </w:numPr>
        <w:rPr>
          <w:rFonts w:ascii="Arial" w:cs="Arial" w:eastAsia="Arial" w:hAnsi="Arial"/>
          <w:sz w:val="13"/>
          <w:szCs w:val="13"/>
          <w:color w:val="auto"/>
        </w:rPr>
      </w:pPr>
      <w:r>
        <w:rPr>
          <w:rFonts w:ascii="Arial" w:cs="Arial" w:eastAsia="Arial" w:hAnsi="Arial"/>
          <w:sz w:val="13"/>
          <w:szCs w:val="13"/>
          <w:color w:val="auto"/>
        </w:rPr>
        <w:t>Except as otherwise provided in this Agreement, Executive shall not be deemed to be a holder of any Common Stock pursuant to a Unit until the date of the issuance of a certificate to him for such shares and, except as otherwise provided in this Agreement, Executive shall not have any rights to dividends or any other rights of a shareholder with respect to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color w:val="auto"/>
        </w:rPr>
        <w:t>shares of Common Stock covered by a Unit until such shares of Common Stock have been issued to him, which issuance shall not be unreasonably delayed.</w:t>
      </w:r>
    </w:p>
    <w:p>
      <w:pPr>
        <w:spacing w:after="0" w:line="86" w:lineRule="exact"/>
        <w:rPr>
          <w:sz w:val="20"/>
          <w:szCs w:val="20"/>
          <w:color w:val="auto"/>
        </w:rPr>
      </w:pPr>
    </w:p>
    <w:p>
      <w:pPr>
        <w:ind w:firstLine="326"/>
        <w:spacing w:after="0" w:line="310" w:lineRule="auto"/>
        <w:tabs>
          <w:tab w:leader="none" w:pos="503" w:val="left"/>
        </w:tabs>
        <w:numPr>
          <w:ilvl w:val="1"/>
          <w:numId w:val="67"/>
        </w:numPr>
        <w:rPr>
          <w:rFonts w:ascii="Arial" w:cs="Arial" w:eastAsia="Arial" w:hAnsi="Arial"/>
          <w:sz w:val="11"/>
          <w:szCs w:val="11"/>
          <w:color w:val="auto"/>
        </w:rPr>
      </w:pPr>
      <w:r>
        <w:rPr>
          <w:rFonts w:ascii="Arial" w:cs="Arial" w:eastAsia="Arial" w:hAnsi="Arial"/>
          <w:sz w:val="11"/>
          <w:szCs w:val="11"/>
          <w:color w:val="auto"/>
        </w:rPr>
        <w:t>The Company shall be entitled to withhold in cash, shares or deduction from other compensation payable to the Executive any sums required by federal, state or local tax law to be withheld with respect to the grant, vesting, distribution or payment of the Units or the Unit Shares. In satisfaction of the foregoing requirement with respect to the grant, vesting, distribution or payment of the Units or Unit Shares, to the extent permitted by Section 409A of the Code, including Treas. Reg. Section 1.409A-3(j)(4)(vi), the Company shall withhold shares of Common Stock otherwise issuable upon payment of the Units having a Fair Market Value equal to the sums required to be withheld. Subject to the following sentence, the number of shares of Common Stock which shall be so withheld in order to satisfy the Executive’s federal, state and local withholding tax liabilities with respect to the grant, vesting, distribution or payment of the Units or Unit Shares shall be limited to the number of shares which have a Fair Market Value on the date of withholding equal to the aggregate amount of such liabilities based on the minimum statutory withholding rates for federal, state and local tax purposes that are applicable to such supplemental taxable income. In the event that the number of shares of Common Stock having a Fair Market Value equal to the sums required to be withheld is not a whole number of shares, the number of shares so withheld shall be rounded up to the nearest whole share.</w:t>
      </w:r>
    </w:p>
    <w:p>
      <w:pPr>
        <w:spacing w:after="0" w:line="35" w:lineRule="exact"/>
        <w:rPr>
          <w:rFonts w:ascii="Arial" w:cs="Arial" w:eastAsia="Arial" w:hAnsi="Arial"/>
          <w:sz w:val="11"/>
          <w:szCs w:val="11"/>
          <w:color w:val="auto"/>
        </w:rPr>
      </w:pPr>
    </w:p>
    <w:p>
      <w:pPr>
        <w:ind w:left="480" w:hanging="154"/>
        <w:spacing w:after="0"/>
        <w:tabs>
          <w:tab w:leader="none" w:pos="480" w:val="left"/>
        </w:tabs>
        <w:numPr>
          <w:ilvl w:val="1"/>
          <w:numId w:val="67"/>
        </w:numPr>
        <w:rPr>
          <w:rFonts w:ascii="Arial" w:cs="Arial" w:eastAsia="Arial" w:hAnsi="Arial"/>
          <w:sz w:val="13"/>
          <w:szCs w:val="13"/>
          <w:color w:val="auto"/>
        </w:rPr>
      </w:pPr>
      <w:r>
        <w:rPr>
          <w:rFonts w:ascii="Arial" w:cs="Arial" w:eastAsia="Arial" w:hAnsi="Arial"/>
          <w:sz w:val="13"/>
          <w:szCs w:val="13"/>
          <w:color w:val="auto"/>
        </w:rPr>
        <w:t>Executive’s right to receive payment of any amounts under this Agreement shall be an unfunded entitlement and shall be an unsecured claim against the general assets of the Company.</w:t>
      </w:r>
    </w:p>
    <w:p>
      <w:pPr>
        <w:spacing w:after="0" w:line="86" w:lineRule="exact"/>
        <w:rPr>
          <w:rFonts w:ascii="Arial" w:cs="Arial" w:eastAsia="Arial" w:hAnsi="Arial"/>
          <w:sz w:val="13"/>
          <w:szCs w:val="13"/>
          <w:color w:val="auto"/>
        </w:rPr>
      </w:pPr>
    </w:p>
    <w:p>
      <w:pPr>
        <w:ind w:right="160" w:firstLine="326"/>
        <w:spacing w:after="0" w:line="264" w:lineRule="auto"/>
        <w:tabs>
          <w:tab w:leader="none" w:pos="506" w:val="left"/>
        </w:tabs>
        <w:numPr>
          <w:ilvl w:val="1"/>
          <w:numId w:val="67"/>
        </w:numPr>
        <w:rPr>
          <w:rFonts w:ascii="Arial" w:cs="Arial" w:eastAsia="Arial" w:hAnsi="Arial"/>
          <w:sz w:val="13"/>
          <w:szCs w:val="13"/>
          <w:color w:val="auto"/>
        </w:rPr>
      </w:pPr>
      <w:r>
        <w:rPr>
          <w:rFonts w:ascii="Arial" w:cs="Arial" w:eastAsia="Arial" w:hAnsi="Arial"/>
          <w:sz w:val="13"/>
          <w:szCs w:val="13"/>
          <w:color w:val="auto"/>
        </w:rPr>
        <w:t>After payment in accordance with this Section 6, the Unit Shares may not be sold, transferred or otherwise disposed of by Executive for a period of five days after receipt of such shares by Executive, except that no such restrictions shall apply in the case of a Change in Control or in the event that Unit Shares are sold or withheld in order to satisfy any obligations Executive may have with respect to any applicable tax withholding requirements on vesting or receipt of Unit Shares (including, without limitation, pursuant to Section 6(e) above).</w:t>
      </w:r>
    </w:p>
    <w:p>
      <w:pPr>
        <w:spacing w:after="0" w:line="57" w:lineRule="exact"/>
        <w:rPr>
          <w:rFonts w:ascii="Arial" w:cs="Arial" w:eastAsia="Arial" w:hAnsi="Arial"/>
          <w:sz w:val="13"/>
          <w:szCs w:val="13"/>
          <w:color w:val="auto"/>
        </w:rPr>
      </w:pPr>
    </w:p>
    <w:p>
      <w:pPr>
        <w:ind w:right="100" w:firstLine="162"/>
        <w:spacing w:after="0" w:line="285" w:lineRule="auto"/>
        <w:tabs>
          <w:tab w:leader="none" w:pos="295"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Representations</w:t>
      </w:r>
      <w:r>
        <w:rPr>
          <w:rFonts w:ascii="Arial" w:cs="Arial" w:eastAsia="Arial" w:hAnsi="Arial"/>
          <w:sz w:val="12"/>
          <w:szCs w:val="12"/>
          <w:color w:val="auto"/>
        </w:rPr>
        <w:t>. The Company represents and warrants that this Agreement has been authorized by all necessary action of the Company, has been approved by the Board and is a valid and binding agreement of the Company enforceable against it in accordance with its terms and that the Unit Shares will be issued pursuant to and in accordance with the 2003 Plan, will be listed with NASDAQ or the principal United States securities exchange on which the Common Stock is admitted to trading, and will be validly issued, fully paid and non-assessable shares. The Company further represents and warrants that the grant of Units under this Agreement has been approved by the Company’s Compensation Committee, that the 2003 Plan has and will have sufficient shares available to effect the distribution of the Unit Shares, and that the Company will file a Hart Scott Rodino application with respect to Executive on a timely basis, if necessary, in connection with the acquisition of Unit Shares by Executive under this Agreement.</w:t>
      </w:r>
    </w:p>
    <w:p>
      <w:pPr>
        <w:spacing w:after="0" w:line="45" w:lineRule="exact"/>
        <w:rPr>
          <w:rFonts w:ascii="Arial" w:cs="Arial" w:eastAsia="Arial" w:hAnsi="Arial"/>
          <w:sz w:val="12"/>
          <w:szCs w:val="12"/>
          <w:color w:val="auto"/>
        </w:rPr>
      </w:pPr>
    </w:p>
    <w:p>
      <w:pPr>
        <w:ind w:left="300" w:hanging="138"/>
        <w:spacing w:after="0"/>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t>Changes in the Common Stock and Adjustment of Units</w:t>
      </w: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3" w:name="page124"/>
    <w:bookmarkEnd w:id="123"/>
    <w:p>
      <w:pPr>
        <w:ind w:left="-40" w:firstLine="326"/>
        <w:spacing w:after="0" w:line="255" w:lineRule="auto"/>
        <w:tabs>
          <w:tab w:leader="none" w:pos="466"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 the event the outstanding shares of the Common Stock shall be changed into an increased number of shares, through a share dividend or a split-up of shares, or into a decreased number of shares, through a combination of shares, then immediately after the record date for such change, the number of Units then subject to this Agreement shall be proportionately increased, in case of such share dividend or split-up of shares, or proportionately decreased, in case of such combination of shares. In the event the Company shall issue any of its shares of stock or other securities or property (other than Common Stock which is covered by the preceding sentence), in a reclassification of the Common Stock (including without limitation any such reclassification in connection with a consolidation or merger in which the Company is the continuing entity), the kind and number of Units subject to this Agreement immediately prior thereto shall be adjusted so that the Executive shall be entitled to receive the same kind and number of shares or other securities or property which the Executive would have owned or have been entitled to receive after the happening of any of the events described above, had he owned the shares of the Common Stock represented by the Units under this Agreement immediately prior to the happening of such event or any record date with respect thereto, which adjustment shall become effective immediately after the effective date of such event retroactive to the record date, if any, for such event.</w:t>
      </w:r>
    </w:p>
    <w:p>
      <w:pPr>
        <w:spacing w:after="0" w:line="66" w:lineRule="exact"/>
        <w:rPr>
          <w:rFonts w:ascii="Arial" w:cs="Arial" w:eastAsia="Arial" w:hAnsi="Arial"/>
          <w:sz w:val="13"/>
          <w:szCs w:val="13"/>
          <w:color w:val="auto"/>
        </w:rPr>
      </w:pPr>
    </w:p>
    <w:p>
      <w:pPr>
        <w:ind w:left="-40" w:firstLine="326"/>
        <w:spacing w:after="0" w:line="257" w:lineRule="auto"/>
        <w:tabs>
          <w:tab w:leader="none" w:pos="473"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 the event the Company shall distribute to all holders of the Common Stock evidences of its indebtedness or assets (including leveraged recapitalizations with special cash distributions, but excluding regular quarterly cash dividends), then in each case the number of Units thereafter subject to this Agreement shall be determined by multiplying the number of Units theretofore subject to this Agreement by a fraction, (i) the numerator of which shall be the then current market price per share of Common Stock (as determined in paragraph (c) below) on the record date for such distribution, and (ii) the denominator of which shall be the then current market price per share of the Common Stock less the then fair value (as mutually determined in good faith by the Board and the Executive) of the portion of the assets or evidences of indebtedness so distributed applicable to a share of Common Stock. Such adjustment shall be made whenever any such distribution is made, and shall become effective on the date of distribution retroactive to the record date for the determination of shareholders entitled to receive such distribution.</w:t>
      </w:r>
    </w:p>
    <w:p>
      <w:pPr>
        <w:spacing w:after="0" w:line="61" w:lineRule="exact"/>
        <w:rPr>
          <w:rFonts w:ascii="Arial" w:cs="Arial" w:eastAsia="Arial" w:hAnsi="Arial"/>
          <w:sz w:val="13"/>
          <w:szCs w:val="13"/>
          <w:color w:val="auto"/>
        </w:rPr>
      </w:pPr>
    </w:p>
    <w:p>
      <w:pPr>
        <w:ind w:left="-40" w:right="160" w:firstLine="326"/>
        <w:spacing w:after="0" w:line="289" w:lineRule="auto"/>
        <w:tabs>
          <w:tab w:leader="none" w:pos="466" w:val="left"/>
        </w:tabs>
        <w:numPr>
          <w:ilvl w:val="0"/>
          <w:numId w:val="69"/>
        </w:numPr>
        <w:rPr>
          <w:rFonts w:ascii="Arial" w:cs="Arial" w:eastAsia="Arial" w:hAnsi="Arial"/>
          <w:sz w:val="12"/>
          <w:szCs w:val="12"/>
          <w:color w:val="auto"/>
        </w:rPr>
      </w:pPr>
      <w:r>
        <w:rPr>
          <w:rFonts w:ascii="Arial" w:cs="Arial" w:eastAsia="Arial" w:hAnsi="Arial"/>
          <w:sz w:val="12"/>
          <w:szCs w:val="12"/>
          <w:color w:val="auto"/>
        </w:rPr>
        <w:t>For the purpose of any computation under paragraph (b) of this Section 8, the current market price per share of the Common Stock at any date shall be deemed to be the average of the daily Stock Prices (as defined herein) for 15 consecutive Trading Days (as defined herein) commencing 20 Trading Days before the date of such computation. “</w:t>
      </w:r>
      <w:r>
        <w:rPr>
          <w:rFonts w:ascii="Arial" w:cs="Arial" w:eastAsia="Arial" w:hAnsi="Arial"/>
          <w:sz w:val="12"/>
          <w:szCs w:val="12"/>
          <w:u w:val="single" w:color="auto"/>
          <w:color w:val="auto"/>
        </w:rPr>
        <w:t>Stock Price</w:t>
      </w:r>
      <w:r>
        <w:rPr>
          <w:rFonts w:ascii="Arial" w:cs="Arial" w:eastAsia="Arial" w:hAnsi="Arial"/>
          <w:sz w:val="12"/>
          <w:szCs w:val="12"/>
          <w:color w:val="auto"/>
        </w:rPr>
        <w:t>” for each Trading Day shall be the “Fair Market Value” of the Common Stock (as defined in the 2003 Plan, as in effect on the date of this Agreement) for such Trading Day. “</w:t>
      </w:r>
      <w:r>
        <w:rPr>
          <w:rFonts w:ascii="Arial" w:cs="Arial" w:eastAsia="Arial" w:hAnsi="Arial"/>
          <w:sz w:val="12"/>
          <w:szCs w:val="12"/>
          <w:u w:val="single" w:color="auto"/>
          <w:color w:val="auto"/>
        </w:rPr>
        <w:t>Trading Day</w:t>
      </w:r>
      <w:r>
        <w:rPr>
          <w:rFonts w:ascii="Arial" w:cs="Arial" w:eastAsia="Arial" w:hAnsi="Arial"/>
          <w:sz w:val="12"/>
          <w:szCs w:val="12"/>
          <w:color w:val="auto"/>
        </w:rPr>
        <w:t>” shall be each Monday, Tuesday, Wednesday, Thursday and Friday, other than any day on which the Common Stock is not traded on the exchange or in the market which is the principal United States market for the Common Stock.</w:t>
      </w:r>
    </w:p>
    <w:p>
      <w:pPr>
        <w:spacing w:after="0" w:line="43" w:lineRule="exact"/>
        <w:rPr>
          <w:rFonts w:ascii="Arial" w:cs="Arial" w:eastAsia="Arial" w:hAnsi="Arial"/>
          <w:sz w:val="12"/>
          <w:szCs w:val="12"/>
          <w:color w:val="auto"/>
        </w:rPr>
      </w:pPr>
    </w:p>
    <w:p>
      <w:pPr>
        <w:ind w:left="-40" w:right="280" w:firstLine="326"/>
        <w:spacing w:after="0" w:line="276" w:lineRule="auto"/>
        <w:tabs>
          <w:tab w:leader="none" w:pos="473" w:val="left"/>
        </w:tabs>
        <w:numPr>
          <w:ilvl w:val="0"/>
          <w:numId w:val="69"/>
        </w:numPr>
        <w:rPr>
          <w:rFonts w:ascii="Arial" w:cs="Arial" w:eastAsia="Arial" w:hAnsi="Arial"/>
          <w:sz w:val="13"/>
          <w:szCs w:val="13"/>
          <w:color w:val="auto"/>
        </w:rPr>
      </w:pPr>
      <w:r>
        <w:rPr>
          <w:rFonts w:ascii="Arial" w:cs="Arial" w:eastAsia="Arial" w:hAnsi="Arial"/>
          <w:sz w:val="13"/>
          <w:szCs w:val="13"/>
          <w:color w:val="auto"/>
        </w:rPr>
        <w:t>For the purpose of this Section 8, the term “</w:t>
      </w:r>
      <w:r>
        <w:rPr>
          <w:rFonts w:ascii="Arial" w:cs="Arial" w:eastAsia="Arial" w:hAnsi="Arial"/>
          <w:sz w:val="13"/>
          <w:szCs w:val="13"/>
          <w:u w:val="single" w:color="auto"/>
          <w:color w:val="auto"/>
        </w:rPr>
        <w:t>Common Stock</w:t>
      </w:r>
      <w:r>
        <w:rPr>
          <w:rFonts w:ascii="Arial" w:cs="Arial" w:eastAsia="Arial" w:hAnsi="Arial"/>
          <w:sz w:val="13"/>
          <w:szCs w:val="13"/>
          <w:color w:val="auto"/>
        </w:rPr>
        <w:t>” shall mean (i) the class of Company securities designated as the Common Stock at the date of this Agreement, or (ii) any other class of equity interest resulting from successive changes or reclassifications of such shares consisting solely of changes in par value, or from par value to no par value, or from</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0" w:right="259" w:bottom="1440" w:gutter="0" w:footer="0" w:header="0"/>
        </w:sectPr>
      </w:pPr>
    </w:p>
    <w:bookmarkStart w:id="124" w:name="page125"/>
    <w:bookmarkEnd w:id="124"/>
    <w:p>
      <w:pPr>
        <w:ind w:right="40"/>
        <w:spacing w:after="0" w:line="260" w:lineRule="auto"/>
        <w:rPr>
          <w:sz w:val="20"/>
          <w:szCs w:val="20"/>
          <w:color w:val="auto"/>
        </w:rPr>
      </w:pPr>
      <w:r>
        <w:rPr>
          <w:rFonts w:ascii="Arial" w:cs="Arial" w:eastAsia="Arial" w:hAnsi="Arial"/>
          <w:sz w:val="13"/>
          <w:szCs w:val="13"/>
          <w:color w:val="auto"/>
        </w:rPr>
        <w:t>no par value to par value. In the event that at any time, as a result of an adjustment made pursuant to the second sentence of Section 8(a) above, the Executive shall become entitled to Units representing any shares other than the Common Stock, thereafter the number of such other shares represented by a Unit shall be subject to adjustment from time to time in a manner and on the terms as nearly equivalent as practicable to the provisions with respect to the shares contained in this Section 8, and the provisions of this Agreement with respect to the shares of Common Stock represented by the Units shall apply on like terms to any such other shares.</w:t>
      </w:r>
    </w:p>
    <w:p>
      <w:pPr>
        <w:spacing w:after="0" w:line="60" w:lineRule="exact"/>
        <w:rPr>
          <w:sz w:val="20"/>
          <w:szCs w:val="20"/>
          <w:color w:val="auto"/>
        </w:rPr>
      </w:pPr>
    </w:p>
    <w:p>
      <w:pPr>
        <w:ind w:right="100" w:firstLine="326"/>
        <w:spacing w:after="0" w:line="258" w:lineRule="auto"/>
        <w:tabs>
          <w:tab w:leader="none" w:pos="506"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 case of any Change in Control, consolidation of the Company, or merger of the Company with another corporation as a result of which Common Stock is converted or modified, or in case of any sale or conveyance to another corporation of the property, assets and business of the Company as an entirety or substantially as an entirety, the Company shall modify the Units so as to provide the Executive with Units reflecting the kind and amount of shares and other securities and property (or cash, as applicable) that he would have owned or have been entitled to receive immediately after the happening of such Change in Control, consolidation, merger, sale or conveyance had his Units immediately prior to such action actually been shares and, if applicable, other securities of the Company represented by those Units. The provisions of this Section 8(e) shall similarly apply to successive consolidations, mergers, sales or conveyances.</w:t>
      </w:r>
    </w:p>
    <w:p>
      <w:pPr>
        <w:spacing w:after="0" w:line="61" w:lineRule="exact"/>
        <w:rPr>
          <w:rFonts w:ascii="Arial" w:cs="Arial" w:eastAsia="Arial" w:hAnsi="Arial"/>
          <w:sz w:val="13"/>
          <w:szCs w:val="13"/>
          <w:color w:val="auto"/>
        </w:rPr>
      </w:pPr>
    </w:p>
    <w:p>
      <w:pPr>
        <w:ind w:firstLine="326"/>
        <w:spacing w:after="0" w:line="258" w:lineRule="auto"/>
        <w:tabs>
          <w:tab w:leader="none" w:pos="491" w:val="left"/>
        </w:tabs>
        <w:numPr>
          <w:ilvl w:val="0"/>
          <w:numId w:val="70"/>
        </w:numPr>
        <w:rPr>
          <w:rFonts w:ascii="Arial" w:cs="Arial" w:eastAsia="Arial" w:hAnsi="Arial"/>
          <w:sz w:val="13"/>
          <w:szCs w:val="13"/>
          <w:color w:val="auto"/>
        </w:rPr>
      </w:pPr>
      <w:r>
        <w:rPr>
          <w:rFonts w:ascii="Arial" w:cs="Arial" w:eastAsia="Arial" w:hAnsi="Arial"/>
          <w:sz w:val="13"/>
          <w:szCs w:val="13"/>
          <w:color w:val="auto"/>
        </w:rPr>
        <w:t>If the Company distributes rights or warrants to all holders of its Common Stock entitling them to purchase shares of Common Stock at a price per share less than the current market price per share on the record date for the distribution, the Company shall distribute to Executive equivalent amounts of such rights or warrants as if Executive were an actual shareholder with respect to the number of shares of Common Stock equal to his outstanding Units. Such rights or warrants shall be exercisable at the same time, on the same terms and for the same price as the rights or warrants distributed to holders of the Common Stock; provided, however, that if such rights or warrants are deemed to be deferred compensation subject to the requirements of Section 409A of the Code, such rights or warrants shall be distributed to Executive in a manner that complies with such requirements.</w:t>
      </w:r>
    </w:p>
    <w:p>
      <w:pPr>
        <w:spacing w:after="0" w:line="61" w:lineRule="exact"/>
        <w:rPr>
          <w:rFonts w:ascii="Arial" w:cs="Arial" w:eastAsia="Arial" w:hAnsi="Arial"/>
          <w:sz w:val="13"/>
          <w:szCs w:val="13"/>
          <w:color w:val="auto"/>
        </w:rPr>
      </w:pPr>
    </w:p>
    <w:p>
      <w:pPr>
        <w:ind w:firstLine="326"/>
        <w:spacing w:after="0" w:line="264" w:lineRule="auto"/>
        <w:tabs>
          <w:tab w:leader="none" w:pos="513"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 case any event shall occur as to which the provisions of this Section 8 are not applicable but the failure to make any adjustment would not fairly protect the rights represented by the Units in accordance with the essential intent and principles of this Section 8 then, in each such case, the Company shall make an adjustment, if any, on a basis consistent with the essential intent and principles established in this Section 8, necessary to preserve, without dilution, the rights represented by the Units. The Company will promptly notify the Executive of any such proposed adjustment.</w:t>
      </w:r>
    </w:p>
    <w:p>
      <w:pPr>
        <w:spacing w:after="0" w:line="57" w:lineRule="exact"/>
        <w:rPr>
          <w:rFonts w:ascii="Arial" w:cs="Arial" w:eastAsia="Arial" w:hAnsi="Arial"/>
          <w:sz w:val="13"/>
          <w:szCs w:val="13"/>
          <w:color w:val="auto"/>
        </w:rPr>
      </w:pPr>
    </w:p>
    <w:p>
      <w:pPr>
        <w:ind w:right="80" w:firstLine="326"/>
        <w:spacing w:after="0" w:line="260" w:lineRule="auto"/>
        <w:tabs>
          <w:tab w:leader="none" w:pos="513" w:val="left"/>
        </w:tabs>
        <w:numPr>
          <w:ilvl w:val="0"/>
          <w:numId w:val="70"/>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herein, the provisions of Section 8 shall not apply to, and no adjustment is required to be made in respect of, any of the following: (i) the issuance of shares of Common Stock upon the exercise of any other rights, options or warrants that entitle the holder to subscribe for or purchase such shares (it being understood that the sole adjustment pursuant to this Section 8 in respect of the issuance of shares of Common Stock upon exercise of rights, options or warrants shall be made at the time of the issuance by the Company of such rights, options or warrants, or a change in the terms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5" w:name="page126"/>
    <w:bookmarkEnd w:id="125"/>
    <w:p>
      <w:pPr>
        <w:ind w:left="1" w:hanging="1"/>
        <w:spacing w:after="0" w:line="260" w:lineRule="auto"/>
        <w:tabs>
          <w:tab w:leader="none" w:pos="194"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issuance of shares of Common Stock to the Company’s employees, directors or consultants pursuant to bona fide benefit plans adopted by the Company’s Board; (iii) the issuance of shares of Common Stock in a bona fide public offering pursuant to a firm commitment offering; (iv) the issuance of shares of Common Stock pursuant to any dividend reinvestment or similar plan adopted by the Company’s Board to the extent that the applicable discount from the current market price for shares issued under such plan does not exceed 5%; and (v) the issuance of shares of Common Stock in any arm’s length transaction, directly or indirectly, to any party.</w:t>
      </w:r>
    </w:p>
    <w:p>
      <w:pPr>
        <w:spacing w:after="0" w:line="59" w:lineRule="exact"/>
        <w:rPr>
          <w:rFonts w:ascii="Arial" w:cs="Arial" w:eastAsia="Arial" w:hAnsi="Arial"/>
          <w:sz w:val="13"/>
          <w:szCs w:val="13"/>
          <w:color w:val="auto"/>
        </w:rPr>
      </w:pPr>
    </w:p>
    <w:p>
      <w:pPr>
        <w:ind w:left="1" w:right="60" w:firstLine="326"/>
        <w:spacing w:after="0" w:line="371" w:lineRule="auto"/>
        <w:tabs>
          <w:tab w:leader="none" w:pos="485" w:val="left"/>
        </w:tabs>
        <w:numPr>
          <w:ilvl w:val="1"/>
          <w:numId w:val="71"/>
        </w:numPr>
        <w:rPr>
          <w:rFonts w:ascii="Arial" w:cs="Arial" w:eastAsia="Arial" w:hAnsi="Arial"/>
          <w:sz w:val="11"/>
          <w:szCs w:val="11"/>
          <w:color w:val="auto"/>
        </w:rPr>
      </w:pPr>
      <w:r>
        <w:rPr>
          <w:rFonts w:ascii="Arial" w:cs="Arial" w:eastAsia="Arial" w:hAnsi="Arial"/>
          <w:sz w:val="11"/>
          <w:szCs w:val="11"/>
          <w:color w:val="auto"/>
        </w:rPr>
        <w:t>Notwithstanding anything in this Agreement to the contrary, in the event of a spin-off by the Company to its shareholders, Executive’s participation in such spin-off with respect to the Units and the adjustment of the Units shall be determined in an appropriate and equitable manner, and it is the intention of the parties hereto that, to the extent practicable, such adjustment shall include an equity interest in the spin-off entity.</w:t>
      </w:r>
    </w:p>
    <w:p>
      <w:pPr>
        <w:spacing w:after="0" w:line="2" w:lineRule="exact"/>
        <w:rPr>
          <w:rFonts w:ascii="Arial" w:cs="Arial" w:eastAsia="Arial" w:hAnsi="Arial"/>
          <w:sz w:val="11"/>
          <w:szCs w:val="11"/>
          <w:color w:val="auto"/>
        </w:rPr>
      </w:pPr>
    </w:p>
    <w:p>
      <w:pPr>
        <w:ind w:left="1" w:firstLine="326"/>
        <w:spacing w:after="0" w:line="276" w:lineRule="auto"/>
        <w:tabs>
          <w:tab w:leader="none" w:pos="485" w:val="left"/>
        </w:tabs>
        <w:numPr>
          <w:ilvl w:val="1"/>
          <w:numId w:val="71"/>
        </w:numPr>
        <w:rPr>
          <w:rFonts w:ascii="Arial" w:cs="Arial" w:eastAsia="Arial" w:hAnsi="Arial"/>
          <w:sz w:val="13"/>
          <w:szCs w:val="13"/>
          <w:color w:val="auto"/>
        </w:rPr>
      </w:pPr>
      <w:r>
        <w:rPr>
          <w:rFonts w:ascii="Arial" w:cs="Arial" w:eastAsia="Arial" w:hAnsi="Arial"/>
          <w:sz w:val="13"/>
          <w:szCs w:val="13"/>
          <w:color w:val="auto"/>
        </w:rPr>
        <w:t>In the event the parties hereto cannot agree upon an appropriate and equitable adjustment to the Units, the services of an independent investment banker mutually acceptable to Executive and the Company shall (at the sole expense of the Company) be retained to determine an appropriate and equitable adjustment, and such determination shall be binding upon the parties.</w:t>
      </w:r>
    </w:p>
    <w:p>
      <w:pPr>
        <w:spacing w:after="0" w:line="49" w:lineRule="exact"/>
        <w:rPr>
          <w:rFonts w:ascii="Arial" w:cs="Arial" w:eastAsia="Arial" w:hAnsi="Arial"/>
          <w:sz w:val="13"/>
          <w:szCs w:val="13"/>
          <w:color w:val="auto"/>
        </w:rPr>
      </w:pPr>
    </w:p>
    <w:p>
      <w:pPr>
        <w:ind w:left="1" w:right="120" w:firstLine="326"/>
        <w:spacing w:after="0" w:line="276" w:lineRule="auto"/>
        <w:tabs>
          <w:tab w:leader="none" w:pos="514" w:val="left"/>
        </w:tabs>
        <w:numPr>
          <w:ilvl w:val="1"/>
          <w:numId w:val="71"/>
        </w:numPr>
        <w:rPr>
          <w:rFonts w:ascii="Arial" w:cs="Arial" w:eastAsia="Arial" w:hAnsi="Arial"/>
          <w:sz w:val="13"/>
          <w:szCs w:val="13"/>
          <w:color w:val="auto"/>
        </w:rPr>
      </w:pPr>
      <w:r>
        <w:rPr>
          <w:rFonts w:ascii="Arial" w:cs="Arial" w:eastAsia="Arial" w:hAnsi="Arial"/>
          <w:sz w:val="13"/>
          <w:szCs w:val="13"/>
          <w:color w:val="auto"/>
        </w:rPr>
        <w:t>Each additional Unit which results from adjustments made pursuant to this Section 8 or the 2003 Plan shall be subject to the same terms and conditions regarding vesting and forfeiture as the underlying Unit to which such additional Unit relates.</w:t>
      </w:r>
    </w:p>
    <w:p>
      <w:pPr>
        <w:spacing w:after="0" w:line="49" w:lineRule="exact"/>
        <w:rPr>
          <w:rFonts w:ascii="Arial" w:cs="Arial" w:eastAsia="Arial" w:hAnsi="Arial"/>
          <w:sz w:val="13"/>
          <w:szCs w:val="13"/>
          <w:color w:val="auto"/>
        </w:rPr>
      </w:pPr>
    </w:p>
    <w:p>
      <w:pPr>
        <w:ind w:left="481" w:hanging="154"/>
        <w:spacing w:after="0"/>
        <w:tabs>
          <w:tab w:leader="none" w:pos="481" w:val="left"/>
        </w:tabs>
        <w:numPr>
          <w:ilvl w:val="1"/>
          <w:numId w:val="71"/>
        </w:numPr>
        <w:rPr>
          <w:rFonts w:ascii="Arial" w:cs="Arial" w:eastAsia="Arial" w:hAnsi="Arial"/>
          <w:sz w:val="12"/>
          <w:szCs w:val="12"/>
          <w:color w:val="auto"/>
        </w:rPr>
      </w:pPr>
      <w:r>
        <w:rPr>
          <w:rFonts w:ascii="Arial" w:cs="Arial" w:eastAsia="Arial" w:hAnsi="Arial"/>
          <w:sz w:val="12"/>
          <w:szCs w:val="12"/>
          <w:color w:val="auto"/>
        </w:rPr>
        <w:t>Notwithstanding the foregoing, no adjustment shall be made and no action shall be taken under this Section 8 to the extent that such adjustment or action shall cause the Units to fail to comply with</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Section 409A of the Code or the Treasury Regulations thereunder (to the extent applicable to the Units).</w:t>
      </w:r>
    </w:p>
    <w:p>
      <w:pPr>
        <w:spacing w:after="0" w:line="79" w:lineRule="exact"/>
        <w:rPr>
          <w:sz w:val="20"/>
          <w:szCs w:val="20"/>
          <w:color w:val="auto"/>
        </w:rPr>
      </w:pPr>
    </w:p>
    <w:p>
      <w:pPr>
        <w:ind w:left="301" w:hanging="138"/>
        <w:spacing w:after="0"/>
        <w:tabs>
          <w:tab w:leader="none" w:pos="301"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No Right to Employment</w:t>
      </w:r>
      <w:r>
        <w:rPr>
          <w:rFonts w:ascii="Arial" w:cs="Arial" w:eastAsia="Arial" w:hAnsi="Arial"/>
          <w:sz w:val="13"/>
          <w:szCs w:val="13"/>
          <w:color w:val="auto"/>
        </w:rPr>
        <w:t>. Nothing in this Agreement shall confer upon Executive the right to remain in employ of the Company or any subsidiary of the Company.</w:t>
      </w:r>
    </w:p>
    <w:p>
      <w:pPr>
        <w:spacing w:after="0" w:line="86" w:lineRule="exact"/>
        <w:rPr>
          <w:rFonts w:ascii="Arial" w:cs="Arial" w:eastAsia="Arial" w:hAnsi="Arial"/>
          <w:sz w:val="13"/>
          <w:szCs w:val="13"/>
          <w:color w:val="auto"/>
        </w:rPr>
      </w:pPr>
    </w:p>
    <w:p>
      <w:pPr>
        <w:ind w:left="1" w:firstLine="162"/>
        <w:spacing w:after="0" w:line="258" w:lineRule="auto"/>
        <w:tabs>
          <w:tab w:leader="none" w:pos="362"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Nontransferability</w:t>
      </w:r>
      <w:r>
        <w:rPr>
          <w:rFonts w:ascii="Arial" w:cs="Arial" w:eastAsia="Arial" w:hAnsi="Arial"/>
          <w:sz w:val="13"/>
          <w:szCs w:val="13"/>
          <w:color w:val="auto"/>
        </w:rPr>
        <w:t>. This Agreement shall not be assignable or transferable by the Company (other than to successors of the Company) and this Agreement and the Units shall not be assignable or transferable by the Executive otherwise than by will or by the laws of descent and distribution, and the Units may be paid out during the lifetime of the Executive only to him. More particularly, but without limiting the generality of the foregoing, the Units may not be assigned, transferred (except as provided in the preceding sentence), pledged, or hypothecated in any way (whether by operation of law or otherwise), and shall not be subject to execution, attachment or similar process. Any attempted assignment, transfer, pledge, hypothecation or other disposition of the Units contrary to the provisions of this Agreement, and any levy of any attachment or similar process upon the Units, shall be null and void and without effect.</w:t>
      </w:r>
    </w:p>
    <w:p>
      <w:pPr>
        <w:spacing w:after="0" w:line="61" w:lineRule="exact"/>
        <w:rPr>
          <w:rFonts w:ascii="Arial" w:cs="Arial" w:eastAsia="Arial" w:hAnsi="Arial"/>
          <w:sz w:val="13"/>
          <w:szCs w:val="13"/>
          <w:color w:val="auto"/>
        </w:rPr>
      </w:pPr>
    </w:p>
    <w:p>
      <w:pPr>
        <w:ind w:left="361" w:hanging="198"/>
        <w:spacing w:after="0"/>
        <w:tabs>
          <w:tab w:leader="none" w:pos="361"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Arbitration, Legal Fees and Expenses</w:t>
      </w:r>
      <w:r>
        <w:rPr>
          <w:rFonts w:ascii="Arial" w:cs="Arial" w:eastAsia="Arial" w:hAnsi="Arial"/>
          <w:sz w:val="13"/>
          <w:szCs w:val="13"/>
          <w:color w:val="auto"/>
        </w:rPr>
        <w:t>. If any contest or dispute shall arise between the Company and Executive regarding any provision of this Agreement, the Company shall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6" w:name="page127"/>
    <w:bookmarkEnd w:id="126"/>
    <w:p>
      <w:pPr>
        <w:ind w:right="20"/>
        <w:spacing w:after="0" w:line="279" w:lineRule="auto"/>
        <w:rPr>
          <w:sz w:val="20"/>
          <w:szCs w:val="20"/>
          <w:color w:val="auto"/>
        </w:rPr>
      </w:pPr>
      <w:r>
        <w:rPr>
          <w:rFonts w:ascii="Arial" w:cs="Arial" w:eastAsia="Arial" w:hAnsi="Arial"/>
          <w:sz w:val="12"/>
          <w:szCs w:val="12"/>
          <w:color w:val="auto"/>
        </w:rPr>
        <w:t xml:space="preserve">reimburse Executive for all legal fees and expenses reasonably incurred by Executive during his lifetime in connection with such contest or dispute, pursuant to the provisions of Section 8.1 of the Employment Agreement. The application of this Section 11 (and Section 8.1 of the Employment Agreement) shall survive the termination of the Employment Agreement. The foregoing limitation shall not preclude the Executive’s estate or heirs from recovering reasonable legal fees (and related expenses) in accordance with the provisions hereof in the event that Executive’s estate or heirs initiate or continue any dispute or controversy arising under or in connection with this Agreement after Executive’s death;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such reasonable legal fees (and related expenses) are incurred within the six (6)-year period following the date of Executive’s death. Such reimbursement shall be made within ninety (90) days following the resolution of such contest or dispute (whether or not appealed), but not later than the end of the calendar year following the year in which the contest or dispute is resolved, to the extent the Company receives reasonable written evidence of such fees and expenses. The amount of any payment or reimbursement of such fees or expenses in one year shall not affect the amount of payments or reimbursements that are eligible for payment or reimbursement in any subsequent year, and the Executive’s right to such payment or reimbursement of any such fees or expenses shall not be subject to liquidation or exchange for any other benefit. Any dispute or controversy arising under or in connection with this Agreement shall be settled exclusively by arbitration in Princeton, New Jersey in accordance with the Commercial Arbitration Rules of the American Arbitration Association then in effect. Judgment may be entered on the arbitrator’s award in any court having jurisdiction.</w:t>
      </w:r>
    </w:p>
    <w:p>
      <w:pPr>
        <w:spacing w:after="0" w:line="50" w:lineRule="exact"/>
        <w:rPr>
          <w:sz w:val="20"/>
          <w:szCs w:val="20"/>
          <w:color w:val="auto"/>
        </w:rPr>
      </w:pPr>
    </w:p>
    <w:p>
      <w:pPr>
        <w:ind w:right="160" w:firstLine="162"/>
        <w:spacing w:after="0" w:line="264" w:lineRule="auto"/>
        <w:tabs>
          <w:tab w:leader="none" w:pos="360"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and the Employment Agreement contain all the understandings between the parties hereto pertaining to the matters referred to herein, and supersede all undertakings and agreements, whether oral or in writing, previously entered into by them with respect thereto. The Executive represents that, in executing this Agreement, he does not rely and has not relied upon any representation or statement not set forth herein made by the Company with regard to the subject matter, basis or effect of this Agreement or otherwise.</w:t>
      </w:r>
    </w:p>
    <w:p>
      <w:pPr>
        <w:spacing w:after="0" w:line="57" w:lineRule="exact"/>
        <w:rPr>
          <w:rFonts w:ascii="Arial" w:cs="Arial" w:eastAsia="Arial" w:hAnsi="Arial"/>
          <w:sz w:val="13"/>
          <w:szCs w:val="13"/>
          <w:color w:val="auto"/>
        </w:rPr>
      </w:pPr>
    </w:p>
    <w:p>
      <w:pPr>
        <w:jc w:val="both"/>
        <w:ind w:firstLine="162"/>
        <w:spacing w:after="0" w:line="296" w:lineRule="auto"/>
        <w:tabs>
          <w:tab w:leader="none" w:pos="360" w:val="left"/>
        </w:tabs>
        <w:numPr>
          <w:ilvl w:val="0"/>
          <w:numId w:val="73"/>
        </w:numPr>
        <w:rPr>
          <w:rFonts w:ascii="Arial" w:cs="Arial" w:eastAsia="Arial" w:hAnsi="Arial"/>
          <w:sz w:val="12"/>
          <w:szCs w:val="12"/>
          <w:color w:val="auto"/>
        </w:rPr>
      </w:pPr>
      <w:r>
        <w:rPr>
          <w:rFonts w:ascii="Arial" w:cs="Arial" w:eastAsia="Arial" w:hAnsi="Arial"/>
          <w:sz w:val="12"/>
          <w:szCs w:val="12"/>
          <w:u w:val="single" w:color="auto"/>
          <w:color w:val="auto"/>
        </w:rPr>
        <w:t>Amendment or Modification; Waiver</w:t>
      </w:r>
      <w:r>
        <w:rPr>
          <w:rFonts w:ascii="Arial" w:cs="Arial" w:eastAsia="Arial" w:hAnsi="Arial"/>
          <w:sz w:val="12"/>
          <w:szCs w:val="12"/>
          <w:color w:val="auto"/>
        </w:rPr>
        <w:t>. No provision of this Agreement may be amended, modified or waived unless such amendment or modification is agreed to in writing, signed by the Executive and by a duly authorized officer of the Company, and such waiver is set 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39" w:lineRule="exact"/>
        <w:rPr>
          <w:rFonts w:ascii="Arial" w:cs="Arial" w:eastAsia="Arial" w:hAnsi="Arial"/>
          <w:sz w:val="12"/>
          <w:szCs w:val="12"/>
          <w:color w:val="auto"/>
        </w:rPr>
      </w:pPr>
    </w:p>
    <w:p>
      <w:pPr>
        <w:ind w:right="340" w:firstLine="162"/>
        <w:spacing w:after="0" w:line="276" w:lineRule="auto"/>
        <w:tabs>
          <w:tab w:leader="none" w:pos="360"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to be given hereunder shall be in writing and shall be deemed given when delivered personally, sent by courier or telecopy or registered or certified mail, postage prepaid, return receipt requested, addressed to the party concerned at the address indicated below or to such other address as such party may subsequently give notice of hereunder in writing:</w:t>
      </w:r>
    </w:p>
    <w:p>
      <w:pPr>
        <w:spacing w:after="0" w:line="4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To the Executive</w:t>
      </w:r>
      <w:r>
        <w:rPr>
          <w:rFonts w:ascii="Arial" w:cs="Arial" w:eastAsia="Arial" w:hAnsi="Arial"/>
          <w:sz w:val="13"/>
          <w:szCs w:val="13"/>
          <w:b w:val="1"/>
          <w:bCs w:val="1"/>
          <w:color w:val="auto"/>
        </w:rPr>
        <w: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27" w:name="page128"/>
    <w:bookmarkEnd w:id="127"/>
    <w:p>
      <w:pPr>
        <w:ind w:left="680"/>
        <w:spacing w:after="0"/>
        <w:rPr>
          <w:sz w:val="20"/>
          <w:szCs w:val="20"/>
          <w:color w:val="auto"/>
        </w:rPr>
      </w:pPr>
      <w:r>
        <w:rPr>
          <w:rFonts w:ascii="Arial" w:cs="Arial" w:eastAsia="Arial" w:hAnsi="Arial"/>
          <w:sz w:val="13"/>
          <w:szCs w:val="13"/>
          <w:color w:val="auto"/>
        </w:rPr>
        <w:t>Stuart M. Essig</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311 Enterprise Drive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Plainsboro, NJ 08536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 609-275-9006</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u w:val="single" w:color="auto"/>
          <w:color w:val="auto"/>
        </w:rPr>
        <w:t>To the Company</w:t>
      </w:r>
      <w:r>
        <w:rPr>
          <w:rFonts w:ascii="Arial" w:cs="Arial" w:eastAsia="Arial" w:hAnsi="Arial"/>
          <w:sz w:val="13"/>
          <w:szCs w:val="13"/>
          <w:b w:val="1"/>
          <w:bCs w:val="1"/>
          <w:color w:val="auto"/>
        </w:rPr>
        <w:t>:</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Integra LifeSciences Holdings Corporation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311 Enterprise Drive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Plainsboro, NJ 08536</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Chairman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 609-275-9006</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 a copy to the Company’s General Counsel)</w:t>
      </w:r>
    </w:p>
    <w:p>
      <w:pPr>
        <w:spacing w:after="0" w:line="86" w:lineRule="exact"/>
        <w:rPr>
          <w:sz w:val="20"/>
          <w:szCs w:val="20"/>
          <w:color w:val="auto"/>
        </w:rPr>
      </w:pPr>
    </w:p>
    <w:p>
      <w:pPr>
        <w:ind w:right="440" w:firstLine="157"/>
        <w:spacing w:after="0" w:line="276" w:lineRule="auto"/>
        <w:rPr>
          <w:sz w:val="20"/>
          <w:szCs w:val="20"/>
          <w:color w:val="auto"/>
        </w:rPr>
      </w:pPr>
      <w:r>
        <w:rPr>
          <w:rFonts w:ascii="Arial" w:cs="Arial" w:eastAsia="Arial" w:hAnsi="Arial"/>
          <w:sz w:val="13"/>
          <w:szCs w:val="13"/>
          <w:color w:val="auto"/>
        </w:rPr>
        <w:t>Any notice delivered personally or by courier under this Section 14 shall be deemed given on the date delivered and any notice sent by telecopy or registered or certified mail, postage prepaid, return receipt requested, shall be deemed given on the date telecopied or mailed.</w:t>
      </w:r>
    </w:p>
    <w:p>
      <w:pPr>
        <w:spacing w:after="0" w:line="49" w:lineRule="exact"/>
        <w:rPr>
          <w:sz w:val="20"/>
          <w:szCs w:val="20"/>
          <w:color w:val="auto"/>
        </w:rPr>
      </w:pPr>
    </w:p>
    <w:p>
      <w:pPr>
        <w:ind w:right="20" w:firstLine="162"/>
        <w:spacing w:after="0" w:line="264" w:lineRule="auto"/>
        <w:tabs>
          <w:tab w:leader="none" w:pos="36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57" w:lineRule="exact"/>
        <w:rPr>
          <w:rFonts w:ascii="Arial" w:cs="Arial" w:eastAsia="Arial" w:hAnsi="Arial"/>
          <w:sz w:val="13"/>
          <w:szCs w:val="13"/>
          <w:color w:val="auto"/>
        </w:rPr>
      </w:pPr>
    </w:p>
    <w:p>
      <w:pPr>
        <w:ind w:firstLine="162"/>
        <w:spacing w:after="0" w:line="276" w:lineRule="auto"/>
        <w:tabs>
          <w:tab w:leader="none" w:pos="36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Noncontravention</w:t>
      </w:r>
      <w:r>
        <w:rPr>
          <w:rFonts w:ascii="Arial" w:cs="Arial" w:eastAsia="Arial" w:hAnsi="Arial"/>
          <w:sz w:val="13"/>
          <w:szCs w:val="13"/>
          <w:color w:val="auto"/>
        </w:rPr>
        <w:t>. The Company represents that the Company is not prevented from entering into, or performing, this Agreement by the terms of any law, order, rule or regulation, its certificate of incorporation or by-laws, or any agreement to which it is a party.</w:t>
      </w:r>
    </w:p>
    <w:p>
      <w:pPr>
        <w:spacing w:after="0" w:line="49" w:lineRule="exact"/>
        <w:rPr>
          <w:rFonts w:ascii="Arial" w:cs="Arial" w:eastAsia="Arial" w:hAnsi="Arial"/>
          <w:sz w:val="13"/>
          <w:szCs w:val="13"/>
          <w:color w:val="auto"/>
        </w:rPr>
      </w:pPr>
    </w:p>
    <w:p>
      <w:pPr>
        <w:ind w:right="140" w:firstLine="162"/>
        <w:spacing w:after="0" w:line="276" w:lineRule="auto"/>
        <w:tabs>
          <w:tab w:leader="none" w:pos="36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Survivorship</w:t>
      </w:r>
      <w:r>
        <w:rPr>
          <w:rFonts w:ascii="Arial" w:cs="Arial" w:eastAsia="Arial" w:hAnsi="Arial"/>
          <w:sz w:val="13"/>
          <w:szCs w:val="13"/>
          <w:color w:val="auto"/>
        </w:rPr>
        <w:t>. The respective rights and obligations of the parties hereunder shall survive any termination of this Agreement or Executive’s employment to the extent necessary for the intended preservation of such rights and obligations.</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74"/>
        </w:numPr>
        <w:rPr>
          <w:rFonts w:ascii="Arial" w:cs="Arial" w:eastAsia="Arial" w:hAnsi="Arial"/>
          <w:sz w:val="12"/>
          <w:szCs w:val="12"/>
          <w:color w:val="auto"/>
        </w:rPr>
      </w:pPr>
      <w:r>
        <w:rPr>
          <w:rFonts w:ascii="Arial" w:cs="Arial" w:eastAsia="Arial" w:hAnsi="Arial"/>
          <w:sz w:val="12"/>
          <w:szCs w:val="12"/>
          <w:u w:val="single" w:color="auto"/>
          <w:color w:val="auto"/>
        </w:rPr>
        <w:t>Successors</w:t>
      </w:r>
      <w:r>
        <w:rPr>
          <w:rFonts w:ascii="Arial" w:cs="Arial" w:eastAsia="Arial" w:hAnsi="Arial"/>
          <w:sz w:val="12"/>
          <w:szCs w:val="12"/>
          <w:color w:val="auto"/>
        </w:rPr>
        <w:t>. This Agreement shall inure to the benefit of and be binding upon each successor of the Company, and upon the Executive’s beneficiaries, legal representatives or estate, as the case may be.</w:t>
      </w:r>
    </w:p>
    <w:p>
      <w:pPr>
        <w:spacing w:after="0" w:line="97" w:lineRule="exact"/>
        <w:rPr>
          <w:rFonts w:ascii="Arial" w:cs="Arial" w:eastAsia="Arial" w:hAnsi="Arial"/>
          <w:sz w:val="12"/>
          <w:szCs w:val="12"/>
          <w:color w:val="auto"/>
        </w:rPr>
      </w:pPr>
    </w:p>
    <w:p>
      <w:pPr>
        <w:jc w:val="both"/>
        <w:ind w:right="60" w:firstLine="162"/>
        <w:spacing w:after="0" w:line="264" w:lineRule="auto"/>
        <w:tabs>
          <w:tab w:leader="none" w:pos="36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Construction</w:t>
      </w:r>
      <w:r>
        <w:rPr>
          <w:rFonts w:ascii="Arial" w:cs="Arial" w:eastAsia="Arial" w:hAnsi="Arial"/>
          <w:sz w:val="13"/>
          <w:szCs w:val="13"/>
          <w:color w:val="auto"/>
        </w:rPr>
        <w:t>. Except as would be in conflict with any specific provision herein, this Agreement is made under and subject to the provisions of the 2003 Plan as in effect on the Grant Date and, except as would conflict with the provisions of this Agreement, all of the provisions of the 2003 Plan as in effect on the Grant Date are hereby incorporated herein as provisions of this Agreement. In the event of any such conflict, the terms of this Agreement shall govern.</w:t>
      </w:r>
    </w:p>
    <w:p>
      <w:pPr>
        <w:spacing w:after="0" w:line="57" w:lineRule="exact"/>
        <w:rPr>
          <w:rFonts w:ascii="Arial" w:cs="Arial" w:eastAsia="Arial" w:hAnsi="Arial"/>
          <w:sz w:val="13"/>
          <w:szCs w:val="13"/>
          <w:color w:val="auto"/>
        </w:rPr>
      </w:pPr>
    </w:p>
    <w:p>
      <w:pPr>
        <w:ind w:left="360" w:hanging="198"/>
        <w:spacing w:after="0"/>
        <w:tabs>
          <w:tab w:leader="none" w:pos="36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will be governed by and construed in accordance with the laws of the State of Delaware, without regard to its conflicts of laws principles.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128" w:name="page129"/>
    <w:bookmarkEnd w:id="128"/>
    <w:p>
      <w:pPr>
        <w:ind w:left="220" w:hanging="198"/>
        <w:spacing w:after="0"/>
        <w:tabs>
          <w:tab w:leader="none" w:pos="220" w:val="left"/>
        </w:tabs>
        <w:numPr>
          <w:ilvl w:val="0"/>
          <w:numId w:val="75"/>
        </w:numPr>
        <w:rPr>
          <w:rFonts w:ascii="Arial" w:cs="Arial" w:eastAsia="Arial" w:hAnsi="Arial"/>
          <w:sz w:val="12"/>
          <w:szCs w:val="12"/>
          <w:color w:val="auto"/>
        </w:rPr>
      </w:pPr>
      <w:r>
        <w:rPr>
          <w:rFonts w:ascii="Arial" w:cs="Arial" w:eastAsia="Arial" w:hAnsi="Arial"/>
          <w:sz w:val="12"/>
          <w:szCs w:val="12"/>
          <w:u w:val="single" w:color="auto"/>
          <w:color w:val="auto"/>
        </w:rPr>
        <w:t>Headings</w:t>
      </w:r>
      <w:r>
        <w:rPr>
          <w:rFonts w:ascii="Arial" w:cs="Arial" w:eastAsia="Arial" w:hAnsi="Arial"/>
          <w:sz w:val="12"/>
          <w:szCs w:val="12"/>
          <w:color w:val="auto"/>
        </w:rPr>
        <w:t>. All descriptive headings of sections and paragraphs in this Agreement are for convenience of reference only, and they form no part of this Agreement and shall not affect its interpretation.</w:t>
      </w:r>
    </w:p>
    <w:p>
      <w:pPr>
        <w:spacing w:after="0" w:line="97" w:lineRule="exact"/>
        <w:rPr>
          <w:rFonts w:ascii="Arial" w:cs="Arial" w:eastAsia="Arial" w:hAnsi="Arial"/>
          <w:sz w:val="12"/>
          <w:szCs w:val="12"/>
          <w:color w:val="auto"/>
        </w:rPr>
      </w:pPr>
    </w:p>
    <w:p>
      <w:pPr>
        <w:ind w:left="220" w:hanging="198"/>
        <w:spacing w:after="0"/>
        <w:tabs>
          <w:tab w:leader="none" w:pos="22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each of which shall be deemed an original, but all of which together shall constitute one and the same instrument.</w:t>
      </w:r>
    </w:p>
    <w:p>
      <w:pPr>
        <w:spacing w:after="0" w:line="86" w:lineRule="exact"/>
        <w:rPr>
          <w:rFonts w:ascii="Arial" w:cs="Arial" w:eastAsia="Arial" w:hAnsi="Arial"/>
          <w:sz w:val="13"/>
          <w:szCs w:val="13"/>
          <w:color w:val="auto"/>
        </w:rPr>
      </w:pPr>
    </w:p>
    <w:p>
      <w:pPr>
        <w:ind w:left="-140" w:firstLine="162"/>
        <w:spacing w:after="0" w:line="285" w:lineRule="auto"/>
        <w:tabs>
          <w:tab w:leader="none" w:pos="220" w:val="left"/>
        </w:tabs>
        <w:numPr>
          <w:ilvl w:val="0"/>
          <w:numId w:val="75"/>
        </w:numPr>
        <w:rPr>
          <w:rFonts w:ascii="Arial" w:cs="Arial" w:eastAsia="Arial" w:hAnsi="Arial"/>
          <w:sz w:val="12"/>
          <w:szCs w:val="12"/>
          <w:color w:val="auto"/>
        </w:rPr>
      </w:pPr>
      <w:r>
        <w:rPr>
          <w:rFonts w:ascii="Arial" w:cs="Arial" w:eastAsia="Arial" w:hAnsi="Arial"/>
          <w:sz w:val="12"/>
          <w:szCs w:val="12"/>
          <w:u w:val="single" w:color="auto"/>
          <w:color w:val="auto"/>
        </w:rPr>
        <w:t>Section 409A of the Code</w:t>
      </w:r>
      <w:r>
        <w:rPr>
          <w:rFonts w:ascii="Arial" w:cs="Arial" w:eastAsia="Arial" w:hAnsi="Arial"/>
          <w:sz w:val="12"/>
          <w:szCs w:val="12"/>
          <w:color w:val="auto"/>
        </w:rPr>
        <w:t>. This Agreement is intended to comply with the requirements of Section 409A of the Code, and shall in all respects be administered and interpreted in accordance with Section 409A. Notwithstanding anything in the Agreement to the contrary, payment may only be made under the Agreement upon an event and in a manner permitted by Section 409A of the Code. If a payment is not made by the designated payment date under the Agreement, the payment shall be made by December 31 of the calendar year in which the designated date occurs. Any payment to be made upon a termination of employment under this Agreement may only be made upon a Separation from Service. To the extent that any provision of the Agreement would cause a conflict with the requirements of Section 409A of the Code, or would cause the administration of the Agreement to fail to satisfy the requirements of Section 409A, such provision shall be deemed null and void to the extent permitted by applicable law.</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360" w:top="720" w:right="35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color w:val="auto"/>
        </w:rPr>
        <w:t>IN WITNESS WHEREOF, the parties hereto have executed this Contract Stock / Restricted Units Agreement as of the date first above written.</w:t>
      </w:r>
    </w:p>
    <w:p>
      <w:pPr>
        <w:spacing w:after="0" w:line="161" w:lineRule="exact"/>
        <w:rPr>
          <w:sz w:val="20"/>
          <w:szCs w:val="20"/>
          <w:color w:val="auto"/>
        </w:rPr>
      </w:pPr>
    </w:p>
    <w:p>
      <w:pPr>
        <w:ind w:left="6180"/>
        <w:spacing w:after="0"/>
        <w:rPr>
          <w:sz w:val="20"/>
          <w:szCs w:val="20"/>
          <w:color w:val="auto"/>
        </w:rPr>
      </w:pPr>
      <w:r>
        <w:rPr>
          <w:rFonts w:ascii="Arial" w:cs="Arial" w:eastAsia="Arial" w:hAnsi="Arial"/>
          <w:sz w:val="13"/>
          <w:szCs w:val="13"/>
          <w:b w:val="1"/>
          <w:bCs w:val="1"/>
          <w:color w:val="auto"/>
        </w:rPr>
        <w:t>INTEGRA LIFESCIENCES HOLDINGS</w:t>
      </w:r>
    </w:p>
    <w:p>
      <w:pPr>
        <w:spacing w:after="0" w:line="19" w:lineRule="exact"/>
        <w:rPr>
          <w:sz w:val="20"/>
          <w:szCs w:val="20"/>
          <w:color w:val="auto"/>
        </w:rPr>
      </w:pPr>
    </w:p>
    <w:p>
      <w:pPr>
        <w:ind w:left="6180"/>
        <w:spacing w:after="0"/>
        <w:rPr>
          <w:sz w:val="20"/>
          <w:szCs w:val="20"/>
          <w:color w:val="auto"/>
        </w:rPr>
      </w:pPr>
      <w:r>
        <w:rPr>
          <w:rFonts w:ascii="Arial" w:cs="Arial" w:eastAsia="Arial" w:hAnsi="Arial"/>
          <w:sz w:val="13"/>
          <w:szCs w:val="13"/>
          <w:b w:val="1"/>
          <w:bCs w:val="1"/>
          <w:color w:val="auto"/>
        </w:rPr>
        <w:t>CORPORATION</w:t>
      </w:r>
    </w:p>
    <w:p>
      <w:pPr>
        <w:spacing w:after="0" w:line="158"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4216400</wp:posOffset>
            </wp:positionH>
            <wp:positionV relativeFrom="paragraph">
              <wp:posOffset>10795</wp:posOffset>
            </wp:positionV>
            <wp:extent cx="217233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72335" cy="635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Title:</w:t>
      </w:r>
    </w:p>
    <w:p>
      <w:pPr>
        <w:spacing w:after="0" w:line="154" w:lineRule="exact"/>
        <w:rPr>
          <w:sz w:val="20"/>
          <w:szCs w:val="20"/>
          <w:color w:val="auto"/>
        </w:rPr>
      </w:pPr>
    </w:p>
    <w:p>
      <w:pPr>
        <w:ind w:left="6180"/>
        <w:spacing w:after="0"/>
        <w:rPr>
          <w:sz w:val="20"/>
          <w:szCs w:val="20"/>
          <w:color w:val="auto"/>
        </w:rPr>
      </w:pPr>
      <w:r>
        <w:rPr>
          <w:rFonts w:ascii="Arial" w:cs="Arial" w:eastAsia="Arial" w:hAnsi="Arial"/>
          <w:sz w:val="13"/>
          <w:szCs w:val="13"/>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113030</wp:posOffset>
            </wp:positionV>
            <wp:extent cx="246570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65705" cy="6350"/>
                    </a:xfrm>
                    <a:prstGeom prst="rect">
                      <a:avLst/>
                    </a:prstGeom>
                    <a:noFill/>
                  </pic:spPr>
                </pic:pic>
              </a:graphicData>
            </a:graphic>
          </wp:anchor>
        </w:drawing>
      </w:r>
    </w:p>
    <w:p>
      <w:pPr>
        <w:spacing w:after="0" w:line="169"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Stuart M. Essig</w:t>
      </w:r>
    </w:p>
    <w:p>
      <w:pPr>
        <w:spacing w:after="0" w:line="14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0079"/>
          </w:cols>
          <w:pgMar w:left="380" w:top="720"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13"/>
          <w:szCs w:val="13"/>
          <w:b w:val="1"/>
          <w:bCs w:val="1"/>
          <w:color w:val="auto"/>
        </w:rPr>
        <w:t>Exhibit 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00" w:type="dxa"/>
            <w:vAlign w:val="bottom"/>
          </w:tcPr>
          <w:p>
            <w:pPr>
              <w:spacing w:after="0"/>
              <w:rPr>
                <w:sz w:val="14"/>
                <w:szCs w:val="14"/>
                <w:color w:val="auto"/>
              </w:rPr>
            </w:pPr>
          </w:p>
        </w:tc>
        <w:tc>
          <w:tcPr>
            <w:tcW w:w="7460" w:type="dxa"/>
            <w:vAlign w:val="bottom"/>
            <w:gridSpan w:val="3"/>
          </w:tcPr>
          <w:p>
            <w:pPr>
              <w:ind w:left="200"/>
              <w:spacing w:after="0"/>
              <w:rPr>
                <w:sz w:val="20"/>
                <w:szCs w:val="20"/>
                <w:color w:val="auto"/>
              </w:rPr>
            </w:pPr>
            <w:r>
              <w:rPr>
                <w:rFonts w:ascii="Arial" w:cs="Arial" w:eastAsia="Arial" w:hAnsi="Arial"/>
                <w:sz w:val="13"/>
                <w:szCs w:val="13"/>
                <w:color w:val="auto"/>
              </w:rPr>
              <w:t>Subsidiaries of Integra LifeSciences Holdings Corporation</w:t>
            </w:r>
          </w:p>
        </w:tc>
        <w:tc>
          <w:tcPr>
            <w:tcW w:w="0" w:type="dxa"/>
            <w:vAlign w:val="bottom"/>
          </w:tcPr>
          <w:p>
            <w:pPr>
              <w:spacing w:after="0"/>
              <w:rPr>
                <w:sz w:val="1"/>
                <w:szCs w:val="1"/>
                <w:color w:val="auto"/>
              </w:rPr>
            </w:pPr>
          </w:p>
        </w:tc>
      </w:tr>
      <w:tr>
        <w:trPr>
          <w:trHeight w:val="250"/>
        </w:trPr>
        <w:tc>
          <w:tcPr>
            <w:tcW w:w="4000" w:type="dxa"/>
            <w:vAlign w:val="bottom"/>
            <w:vMerge w:val="restart"/>
          </w:tcPr>
          <w:p>
            <w:pPr>
              <w:spacing w:after="0"/>
              <w:rPr>
                <w:sz w:val="20"/>
                <w:szCs w:val="20"/>
                <w:color w:val="auto"/>
              </w:rPr>
            </w:pPr>
            <w:r>
              <w:rPr>
                <w:rFonts w:ascii="Arial" w:cs="Arial" w:eastAsia="Arial" w:hAnsi="Arial"/>
                <w:sz w:val="10"/>
                <w:szCs w:val="10"/>
                <w:b w:val="1"/>
                <w:bCs w:val="1"/>
                <w:color w:val="auto"/>
              </w:rPr>
              <w:t>Name of Subsidiary</w:t>
            </w:r>
          </w:p>
        </w:tc>
        <w:tc>
          <w:tcPr>
            <w:tcW w:w="5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ind w:left="100"/>
              <w:spacing w:after="0"/>
              <w:rPr>
                <w:sz w:val="20"/>
                <w:szCs w:val="20"/>
                <w:color w:val="auto"/>
              </w:rPr>
            </w:pPr>
            <w:r>
              <w:rPr>
                <w:rFonts w:ascii="Arial" w:cs="Arial" w:eastAsia="Arial" w:hAnsi="Arial"/>
                <w:sz w:val="10"/>
                <w:szCs w:val="10"/>
                <w:b w:val="1"/>
                <w:bCs w:val="1"/>
                <w:color w:val="auto"/>
                <w:w w:val="99"/>
              </w:rPr>
              <w:t>State or Country of Incorporation or</w:t>
            </w:r>
          </w:p>
        </w:tc>
        <w:tc>
          <w:tcPr>
            <w:tcW w:w="0" w:type="dxa"/>
            <w:vAlign w:val="bottom"/>
          </w:tcPr>
          <w:p>
            <w:pPr>
              <w:spacing w:after="0"/>
              <w:rPr>
                <w:sz w:val="1"/>
                <w:szCs w:val="1"/>
                <w:color w:val="auto"/>
              </w:rPr>
            </w:pPr>
          </w:p>
        </w:tc>
      </w:tr>
      <w:tr>
        <w:trPr>
          <w:trHeight w:val="125"/>
        </w:trPr>
        <w:tc>
          <w:tcPr>
            <w:tcW w:w="4000" w:type="dxa"/>
            <w:vAlign w:val="bottom"/>
            <w:tcBorders>
              <w:bottom w:val="single" w:sz="8" w:color="auto"/>
            </w:tcBorders>
            <w:vMerge w:val="continue"/>
          </w:tcPr>
          <w:p>
            <w:pPr>
              <w:spacing w:after="0"/>
              <w:rPr>
                <w:sz w:val="10"/>
                <w:szCs w:val="10"/>
                <w:color w:val="auto"/>
              </w:rPr>
            </w:pPr>
          </w:p>
        </w:tc>
        <w:tc>
          <w:tcPr>
            <w:tcW w:w="506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0"/>
                <w:szCs w:val="10"/>
                <w:b w:val="1"/>
                <w:bCs w:val="1"/>
                <w:color w:val="auto"/>
              </w:rPr>
              <w:t>Organization</w:t>
            </w:r>
          </w:p>
        </w:tc>
        <w:tc>
          <w:tcPr>
            <w:tcW w:w="0" w:type="dxa"/>
            <w:vAlign w:val="bottom"/>
          </w:tcPr>
          <w:p>
            <w:pPr>
              <w:spacing w:after="0"/>
              <w:rPr>
                <w:sz w:val="1"/>
                <w:szCs w:val="1"/>
                <w:color w:val="auto"/>
              </w:rPr>
            </w:pPr>
          </w:p>
        </w:tc>
      </w:tr>
      <w:tr>
        <w:trPr>
          <w:trHeight w:val="138"/>
        </w:trPr>
        <w:tc>
          <w:tcPr>
            <w:tcW w:w="4000" w:type="dxa"/>
            <w:vAlign w:val="bottom"/>
          </w:tcPr>
          <w:p>
            <w:pPr>
              <w:spacing w:after="0" w:line="139" w:lineRule="exact"/>
              <w:rPr>
                <w:sz w:val="20"/>
                <w:szCs w:val="20"/>
                <w:color w:val="auto"/>
              </w:rPr>
            </w:pPr>
            <w:r>
              <w:rPr>
                <w:rFonts w:ascii="Arial" w:cs="Arial" w:eastAsia="Arial" w:hAnsi="Arial"/>
                <w:sz w:val="13"/>
                <w:szCs w:val="13"/>
                <w:color w:val="auto"/>
              </w:rPr>
              <w:t>Bimeco, Inc.</w:t>
            </w:r>
          </w:p>
        </w:tc>
        <w:tc>
          <w:tcPr>
            <w:tcW w:w="5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spacing w:after="0" w:line="139" w:lineRule="exact"/>
              <w:rPr>
                <w:sz w:val="20"/>
                <w:szCs w:val="20"/>
                <w:color w:val="auto"/>
              </w:rPr>
            </w:pPr>
            <w:r>
              <w:rPr>
                <w:rFonts w:ascii="Arial" w:cs="Arial" w:eastAsia="Arial" w:hAnsi="Arial"/>
                <w:sz w:val="13"/>
                <w:szCs w:val="13"/>
                <w:color w:val="auto"/>
              </w:rPr>
              <w:t>Florida</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CardioDyne,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Cathtec, Incorporated</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Caveangle Limited</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EndoSolutions,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Fiber Imaging Technologies,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GMS, Gesellschaft für Medizinische Sondentechnik mbH</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ILS Services Switzerland Ltd.</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Canada ULC (formerly known as Canada Microsurgical ULC)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Canada</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CI,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Cayman Islands</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Euro Holdings,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German Holdings GmbH</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France Holdings SAS</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Healthcare Products LLC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LifeSciences (Canada) Holdings,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LifeSciences (France) LLC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LifeSciences (Ireland) Limited</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LifeSciences Corporation</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LifeSciences Holdings SAS</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LifeSciences NR Ireland Limited</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LifeSciences Sales (Ireland) Limited</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LifeSciences Services (France) SAS</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LifeSciences Shared Services (Ireland) Limited</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LS (Benelux) NV</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Belgium</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Luxtec,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ME GmbH</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NeuroSciences (International),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NeuroSciences GmbH</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NeuroSciences Holdings (France) SA</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NeuroSciences Holdings (UK) Limited</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NeuroSciences Holdings B.V.</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Netherlands</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NeuroSciences Implants (France) SA</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NeuroSciences Limited</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Neurosciences Pty Ltd.</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Australia</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Neurosciences Pty Ltd.</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New Zealand</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w w:val="98"/>
              </w:rPr>
              <w:t>Integra Burlington MA, Inc. (formerly known as Integra Radionics,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Sales,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Selector Corporation</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IsoTis International SA</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IsoTis NV</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Netherlands</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IsoTis OrthoBiologics,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Washington</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IsoTis T.E. Facility B.V.</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Netherlands</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IsoTis,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J. Jamner Surgical Instruments,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Jarit GmbH</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Jarit Instruments,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LXU Healthcare, Inc. — Medical Specialty Products</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Miltex GmbH</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Integra York PA, Inc. (formerly known as Miltex,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Minnesota Scientific, Inc.</w:t>
            </w:r>
          </w:p>
        </w:tc>
        <w:tc>
          <w:tcPr>
            <w:tcW w:w="5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Minnesota</w:t>
            </w:r>
          </w:p>
        </w:tc>
        <w:tc>
          <w:tcPr>
            <w:tcW w:w="0" w:type="dxa"/>
            <w:vAlign w:val="bottom"/>
          </w:tcPr>
          <w:p>
            <w:pPr>
              <w:spacing w:after="0"/>
              <w:rPr>
                <w:sz w:val="1"/>
                <w:szCs w:val="1"/>
                <w:color w:val="auto"/>
              </w:rPr>
            </w:pPr>
          </w:p>
        </w:tc>
      </w:tr>
      <w:tr>
        <w:trPr>
          <w:trHeight w:val="165"/>
        </w:trPr>
        <w:tc>
          <w:tcPr>
            <w:tcW w:w="4000" w:type="dxa"/>
            <w:vAlign w:val="bottom"/>
          </w:tcPr>
          <w:p>
            <w:pPr>
              <w:spacing w:after="0"/>
              <w:rPr>
                <w:sz w:val="20"/>
                <w:szCs w:val="20"/>
                <w:color w:val="auto"/>
              </w:rPr>
            </w:pPr>
            <w:r>
              <w:rPr>
                <w:rFonts w:ascii="Arial" w:cs="Arial" w:eastAsia="Arial" w:hAnsi="Arial"/>
                <w:sz w:val="13"/>
                <w:szCs w:val="13"/>
                <w:color w:val="auto"/>
              </w:rPr>
              <w:t>Newdeal SAS</w:t>
            </w:r>
          </w:p>
        </w:tc>
        <w:tc>
          <w:tcPr>
            <w:tcW w:w="5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63"/>
        </w:trPr>
        <w:tc>
          <w:tcPr>
            <w:tcW w:w="4000" w:type="dxa"/>
            <w:vAlign w:val="bottom"/>
            <w:tcBorders>
              <w:bottom w:val="single" w:sz="8" w:color="808080"/>
            </w:tcBorders>
          </w:tcPr>
          <w:p>
            <w:pPr>
              <w:spacing w:after="0"/>
              <w:rPr>
                <w:sz w:val="14"/>
                <w:szCs w:val="14"/>
                <w:color w:val="auto"/>
              </w:rPr>
            </w:pPr>
          </w:p>
        </w:tc>
        <w:tc>
          <w:tcPr>
            <w:tcW w:w="50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15"/>
        </w:trPr>
        <w:tc>
          <w:tcPr>
            <w:tcW w:w="9060" w:type="dxa"/>
            <w:vAlign w:val="bottom"/>
            <w:vMerge w:val="restart"/>
          </w:tcPr>
          <w:p>
            <w:pPr>
              <w:spacing w:after="0"/>
              <w:rPr>
                <w:sz w:val="20"/>
                <w:szCs w:val="20"/>
                <w:color w:val="auto"/>
              </w:rPr>
            </w:pPr>
            <w:r>
              <w:rPr>
                <w:rFonts w:ascii="Arial" w:cs="Arial" w:eastAsia="Arial" w:hAnsi="Arial"/>
                <w:sz w:val="10"/>
                <w:szCs w:val="10"/>
                <w:b w:val="1"/>
                <w:bCs w:val="1"/>
                <w:color w:val="auto"/>
              </w:rPr>
              <w:t>Name of Subsidiary</w:t>
            </w:r>
          </w:p>
        </w:tc>
        <w:tc>
          <w:tcPr>
            <w:tcW w:w="580" w:type="dxa"/>
            <w:vAlign w:val="bottom"/>
          </w:tcPr>
          <w:p>
            <w:pPr>
              <w:spacing w:after="0"/>
              <w:rPr>
                <w:sz w:val="10"/>
                <w:szCs w:val="10"/>
                <w:color w:val="auto"/>
              </w:rPr>
            </w:pPr>
          </w:p>
        </w:tc>
        <w:tc>
          <w:tcPr>
            <w:tcW w:w="1820" w:type="dxa"/>
            <w:vAlign w:val="bottom"/>
          </w:tcPr>
          <w:p>
            <w:pPr>
              <w:ind w:left="100"/>
              <w:spacing w:after="0"/>
              <w:rPr>
                <w:sz w:val="20"/>
                <w:szCs w:val="20"/>
                <w:color w:val="auto"/>
              </w:rPr>
            </w:pPr>
            <w:r>
              <w:rPr>
                <w:rFonts w:ascii="Arial" w:cs="Arial" w:eastAsia="Arial" w:hAnsi="Arial"/>
                <w:sz w:val="10"/>
                <w:szCs w:val="10"/>
                <w:b w:val="1"/>
                <w:bCs w:val="1"/>
                <w:color w:val="auto"/>
                <w:w w:val="99"/>
              </w:rPr>
              <w:t>State or Country of Incorporation or</w:t>
            </w:r>
          </w:p>
        </w:tc>
        <w:tc>
          <w:tcPr>
            <w:tcW w:w="0" w:type="dxa"/>
            <w:vAlign w:val="bottom"/>
          </w:tcPr>
          <w:p>
            <w:pPr>
              <w:spacing w:after="0"/>
              <w:rPr>
                <w:sz w:val="1"/>
                <w:szCs w:val="1"/>
                <w:color w:val="auto"/>
              </w:rPr>
            </w:pPr>
          </w:p>
        </w:tc>
      </w:tr>
      <w:tr>
        <w:trPr>
          <w:trHeight w:val="125"/>
        </w:trPr>
        <w:tc>
          <w:tcPr>
            <w:tcW w:w="9060" w:type="dxa"/>
            <w:vAlign w:val="bottom"/>
            <w:tcBorders>
              <w:bottom w:val="single" w:sz="8" w:color="auto"/>
            </w:tcBorders>
            <w:vMerge w:val="continue"/>
          </w:tcPr>
          <w:p>
            <w:pPr>
              <w:spacing w:after="0"/>
              <w:rPr>
                <w:sz w:val="10"/>
                <w:szCs w:val="10"/>
                <w:color w:val="auto"/>
              </w:rPr>
            </w:pPr>
          </w:p>
        </w:tc>
        <w:tc>
          <w:tcPr>
            <w:tcW w:w="580" w:type="dxa"/>
            <w:vAlign w:val="bottom"/>
          </w:tcPr>
          <w:p>
            <w:pPr>
              <w:spacing w:after="0"/>
              <w:rPr>
                <w:sz w:val="10"/>
                <w:szCs w:val="10"/>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0"/>
                <w:szCs w:val="10"/>
                <w:b w:val="1"/>
                <w:bCs w:val="1"/>
                <w:color w:val="auto"/>
              </w:rPr>
              <w:t>Organization</w:t>
            </w:r>
          </w:p>
        </w:tc>
        <w:tc>
          <w:tcPr>
            <w:tcW w:w="0" w:type="dxa"/>
            <w:vAlign w:val="bottom"/>
          </w:tcPr>
          <w:p>
            <w:pPr>
              <w:spacing w:after="0"/>
              <w:rPr>
                <w:sz w:val="1"/>
                <w:szCs w:val="1"/>
                <w:color w:val="auto"/>
              </w:rPr>
            </w:pPr>
          </w:p>
        </w:tc>
      </w:tr>
      <w:tr>
        <w:trPr>
          <w:trHeight w:val="138"/>
        </w:trPr>
        <w:tc>
          <w:tcPr>
            <w:tcW w:w="9060" w:type="dxa"/>
            <w:vAlign w:val="bottom"/>
          </w:tcPr>
          <w:p>
            <w:pPr>
              <w:spacing w:after="0" w:line="139" w:lineRule="exact"/>
              <w:rPr>
                <w:sz w:val="20"/>
                <w:szCs w:val="20"/>
                <w:color w:val="auto"/>
              </w:rPr>
            </w:pPr>
            <w:r>
              <w:rPr>
                <w:rFonts w:ascii="Arial" w:cs="Arial" w:eastAsia="Arial" w:hAnsi="Arial"/>
                <w:sz w:val="13"/>
                <w:szCs w:val="13"/>
                <w:color w:val="auto"/>
              </w:rPr>
              <w:t>Newdeal, Inc.</w:t>
            </w:r>
          </w:p>
        </w:tc>
        <w:tc>
          <w:tcPr>
            <w:tcW w:w="580" w:type="dxa"/>
            <w:vAlign w:val="bottom"/>
          </w:tcPr>
          <w:p>
            <w:pPr>
              <w:spacing w:after="0"/>
              <w:rPr>
                <w:sz w:val="12"/>
                <w:szCs w:val="12"/>
                <w:color w:val="auto"/>
              </w:rPr>
            </w:pPr>
          </w:p>
        </w:tc>
        <w:tc>
          <w:tcPr>
            <w:tcW w:w="1820" w:type="dxa"/>
            <w:vAlign w:val="bottom"/>
          </w:tcPr>
          <w:p>
            <w:pPr>
              <w:spacing w:after="0" w:line="139" w:lineRule="exact"/>
              <w:rPr>
                <w:sz w:val="20"/>
                <w:szCs w:val="20"/>
                <w:color w:val="auto"/>
              </w:rPr>
            </w:pPr>
            <w:r>
              <w:rPr>
                <w:rFonts w:ascii="Arial" w:cs="Arial" w:eastAsia="Arial" w:hAnsi="Arial"/>
                <w:sz w:val="13"/>
                <w:szCs w:val="13"/>
                <w:color w:val="auto"/>
              </w:rPr>
              <w:t>Texas</w:t>
            </w:r>
          </w:p>
        </w:tc>
        <w:tc>
          <w:tcPr>
            <w:tcW w:w="0" w:type="dxa"/>
            <w:vAlign w:val="bottom"/>
          </w:tcPr>
          <w:p>
            <w:pPr>
              <w:spacing w:after="0"/>
              <w:rPr>
                <w:sz w:val="1"/>
                <w:szCs w:val="1"/>
                <w:color w:val="auto"/>
              </w:rPr>
            </w:pPr>
          </w:p>
        </w:tc>
      </w:tr>
      <w:tr>
        <w:trPr>
          <w:trHeight w:val="157"/>
        </w:trPr>
        <w:tc>
          <w:tcPr>
            <w:tcW w:w="9060" w:type="dxa"/>
            <w:vAlign w:val="bottom"/>
          </w:tcPr>
          <w:p>
            <w:pPr>
              <w:spacing w:after="0"/>
              <w:rPr>
                <w:sz w:val="20"/>
                <w:szCs w:val="20"/>
                <w:color w:val="auto"/>
              </w:rPr>
            </w:pPr>
            <w:r>
              <w:rPr>
                <w:rFonts w:ascii="Arial" w:cs="Arial" w:eastAsia="Arial" w:hAnsi="Arial"/>
                <w:sz w:val="13"/>
                <w:szCs w:val="13"/>
                <w:color w:val="auto"/>
              </w:rPr>
              <w:t>Precise Dental Holding Corp.</w:t>
            </w: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New Jersey</w:t>
            </w:r>
          </w:p>
        </w:tc>
        <w:tc>
          <w:tcPr>
            <w:tcW w:w="0" w:type="dxa"/>
            <w:vAlign w:val="bottom"/>
          </w:tcPr>
          <w:p>
            <w:pPr>
              <w:spacing w:after="0"/>
              <w:rPr>
                <w:sz w:val="1"/>
                <w:szCs w:val="1"/>
                <w:color w:val="auto"/>
              </w:rPr>
            </w:pPr>
          </w:p>
        </w:tc>
      </w:tr>
      <w:tr>
        <w:trPr>
          <w:trHeight w:val="157"/>
        </w:trPr>
        <w:tc>
          <w:tcPr>
            <w:tcW w:w="9060" w:type="dxa"/>
            <w:vAlign w:val="bottom"/>
          </w:tcPr>
          <w:p>
            <w:pPr>
              <w:spacing w:after="0"/>
              <w:rPr>
                <w:sz w:val="20"/>
                <w:szCs w:val="20"/>
                <w:color w:val="auto"/>
              </w:rPr>
            </w:pPr>
            <w:r>
              <w:rPr>
                <w:rFonts w:ascii="Arial" w:cs="Arial" w:eastAsia="Arial" w:hAnsi="Arial"/>
                <w:sz w:val="13"/>
                <w:szCs w:val="13"/>
                <w:color w:val="auto"/>
              </w:rPr>
              <w:t>Precise Dental Internacional, S.A. de C.V.</w:t>
            </w: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Mexico</w:t>
            </w:r>
          </w:p>
        </w:tc>
        <w:tc>
          <w:tcPr>
            <w:tcW w:w="0" w:type="dxa"/>
            <w:vAlign w:val="bottom"/>
          </w:tcPr>
          <w:p>
            <w:pPr>
              <w:spacing w:after="0"/>
              <w:rPr>
                <w:sz w:val="1"/>
                <w:szCs w:val="1"/>
                <w:color w:val="auto"/>
              </w:rPr>
            </w:pPr>
          </w:p>
        </w:tc>
      </w:tr>
      <w:tr>
        <w:trPr>
          <w:trHeight w:val="157"/>
        </w:trPr>
        <w:tc>
          <w:tcPr>
            <w:tcW w:w="9060" w:type="dxa"/>
            <w:vAlign w:val="bottom"/>
          </w:tcPr>
          <w:p>
            <w:pPr>
              <w:spacing w:after="0"/>
              <w:rPr>
                <w:sz w:val="20"/>
                <w:szCs w:val="20"/>
                <w:color w:val="auto"/>
              </w:rPr>
            </w:pPr>
            <w:r>
              <w:rPr>
                <w:rFonts w:ascii="Arial" w:cs="Arial" w:eastAsia="Arial" w:hAnsi="Arial"/>
                <w:sz w:val="13"/>
                <w:szCs w:val="13"/>
                <w:color w:val="auto"/>
              </w:rPr>
              <w:t>Precise Dental Products, Ltd.</w:t>
            </w: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California</w:t>
            </w:r>
          </w:p>
        </w:tc>
        <w:tc>
          <w:tcPr>
            <w:tcW w:w="0" w:type="dxa"/>
            <w:vAlign w:val="bottom"/>
          </w:tcPr>
          <w:p>
            <w:pPr>
              <w:spacing w:after="0"/>
              <w:rPr>
                <w:sz w:val="1"/>
                <w:szCs w:val="1"/>
                <w:color w:val="auto"/>
              </w:rPr>
            </w:pPr>
          </w:p>
        </w:tc>
      </w:tr>
      <w:tr>
        <w:trPr>
          <w:trHeight w:val="157"/>
        </w:trPr>
        <w:tc>
          <w:tcPr>
            <w:tcW w:w="9060" w:type="dxa"/>
            <w:vAlign w:val="bottom"/>
          </w:tcPr>
          <w:p>
            <w:pPr>
              <w:spacing w:after="0"/>
              <w:rPr>
                <w:sz w:val="20"/>
                <w:szCs w:val="20"/>
                <w:color w:val="auto"/>
              </w:rPr>
            </w:pPr>
            <w:r>
              <w:rPr>
                <w:rFonts w:ascii="Arial" w:cs="Arial" w:eastAsia="Arial" w:hAnsi="Arial"/>
                <w:sz w:val="13"/>
                <w:szCs w:val="13"/>
                <w:color w:val="auto"/>
              </w:rPr>
              <w:t>Precision Dental International, Inc.</w:t>
            </w: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California</w:t>
            </w:r>
          </w:p>
        </w:tc>
        <w:tc>
          <w:tcPr>
            <w:tcW w:w="0" w:type="dxa"/>
            <w:vAlign w:val="bottom"/>
          </w:tcPr>
          <w:p>
            <w:pPr>
              <w:spacing w:after="0"/>
              <w:rPr>
                <w:sz w:val="1"/>
                <w:szCs w:val="1"/>
                <w:color w:val="auto"/>
              </w:rPr>
            </w:pPr>
          </w:p>
        </w:tc>
      </w:tr>
      <w:tr>
        <w:trPr>
          <w:trHeight w:val="157"/>
        </w:trPr>
        <w:tc>
          <w:tcPr>
            <w:tcW w:w="9060" w:type="dxa"/>
            <w:vAlign w:val="bottom"/>
          </w:tcPr>
          <w:p>
            <w:pPr>
              <w:spacing w:after="0"/>
              <w:rPr>
                <w:sz w:val="20"/>
                <w:szCs w:val="20"/>
                <w:color w:val="auto"/>
              </w:rPr>
            </w:pPr>
            <w:r>
              <w:rPr>
                <w:rFonts w:ascii="Arial" w:cs="Arial" w:eastAsia="Arial" w:hAnsi="Arial"/>
                <w:sz w:val="13"/>
                <w:szCs w:val="13"/>
                <w:color w:val="auto"/>
              </w:rPr>
              <w:t>Spembly Cryosurgery Limited</w:t>
            </w: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7"/>
        </w:trPr>
        <w:tc>
          <w:tcPr>
            <w:tcW w:w="9060" w:type="dxa"/>
            <w:vAlign w:val="bottom"/>
          </w:tcPr>
          <w:p>
            <w:pPr>
              <w:spacing w:after="0"/>
              <w:rPr>
                <w:sz w:val="20"/>
                <w:szCs w:val="20"/>
                <w:color w:val="auto"/>
              </w:rPr>
            </w:pPr>
            <w:r>
              <w:rPr>
                <w:rFonts w:ascii="Arial" w:cs="Arial" w:eastAsia="Arial" w:hAnsi="Arial"/>
                <w:sz w:val="13"/>
                <w:szCs w:val="13"/>
                <w:color w:val="auto"/>
              </w:rPr>
              <w:t>Spembly Medical Limited</w:t>
            </w: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65"/>
        </w:trPr>
        <w:tc>
          <w:tcPr>
            <w:tcW w:w="9060" w:type="dxa"/>
            <w:vAlign w:val="bottom"/>
          </w:tcPr>
          <w:p>
            <w:pPr>
              <w:spacing w:after="0"/>
              <w:rPr>
                <w:sz w:val="20"/>
                <w:szCs w:val="20"/>
                <w:color w:val="auto"/>
              </w:rPr>
            </w:pPr>
            <w:r>
              <w:rPr>
                <w:rFonts w:ascii="Arial" w:cs="Arial" w:eastAsia="Arial" w:hAnsi="Arial"/>
                <w:sz w:val="13"/>
                <w:szCs w:val="13"/>
                <w:color w:val="auto"/>
              </w:rPr>
              <w:t>Theken Spine, LLC</w:t>
            </w:r>
          </w:p>
        </w:tc>
        <w:tc>
          <w:tcPr>
            <w:tcW w:w="58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Ohio</w:t>
            </w:r>
          </w:p>
        </w:tc>
        <w:tc>
          <w:tcPr>
            <w:tcW w:w="0" w:type="dxa"/>
            <w:vAlign w:val="bottom"/>
          </w:tcPr>
          <w:p>
            <w:pPr>
              <w:spacing w:after="0"/>
              <w:rPr>
                <w:sz w:val="1"/>
                <w:szCs w:val="1"/>
                <w:color w:val="auto"/>
              </w:rPr>
            </w:pPr>
          </w:p>
        </w:tc>
      </w:tr>
      <w:tr>
        <w:trPr>
          <w:trHeight w:val="315"/>
        </w:trPr>
        <w:tc>
          <w:tcPr>
            <w:tcW w:w="9060" w:type="dxa"/>
            <w:vAlign w:val="bottom"/>
          </w:tcPr>
          <w:p>
            <w:pPr>
              <w:spacing w:after="0"/>
              <w:rPr>
                <w:sz w:val="20"/>
                <w:szCs w:val="20"/>
                <w:color w:val="auto"/>
              </w:rPr>
            </w:pPr>
            <w:r>
              <w:rPr>
                <w:rFonts w:ascii="Arial" w:cs="Arial" w:eastAsia="Arial" w:hAnsi="Arial"/>
                <w:sz w:val="13"/>
                <w:szCs w:val="13"/>
                <w:color w:val="auto"/>
              </w:rPr>
              <w:t>February 23, 2011</w:t>
            </w: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863" w:right="2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3"/>
          <w:szCs w:val="13"/>
          <w:b w:val="1"/>
          <w:bCs w:val="1"/>
          <w:color w:val="auto"/>
        </w:rPr>
        <w:t>Exhibit 23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We hereby consent to the incorporation by reference in the Registration Statements on Form S-8 (File Nos. 333-46024, 333-82233, 333-58235, 333-06577, 333-73512, 333-109042, 333-127488, 333-155263 and 333-170210) of Integra LifeSciences Holdings Corporation and Subsidiaries of our report dated February 23, 2011 relating to the consolidated financial statements, financial statement schedule, and the effectiveness of internal control over financial reporting, which appears in this Form 10-K.</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Florham 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23, 2011</w:t>
      </w:r>
    </w:p>
    <w:p>
      <w:pPr>
        <w:sectPr>
          <w:pgSz w:w="11900" w:h="16838" w:orient="portrait"/>
          <w:cols w:equalWidth="0" w:num="1">
            <w:col w:w="11460"/>
          </w:cols>
          <w:pgMar w:left="220" w:top="127" w:right="2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Stuart M. Essig, certify that:</w:t>
      </w:r>
    </w:p>
    <w:p>
      <w:pPr>
        <w:spacing w:after="0" w:line="86" w:lineRule="exact"/>
        <w:rPr>
          <w:sz w:val="20"/>
          <w:szCs w:val="20"/>
          <w:color w:val="auto"/>
        </w:rPr>
      </w:pPr>
    </w:p>
    <w:p>
      <w:pPr>
        <w:ind w:left="461" w:hanging="461"/>
        <w:spacing w:after="0"/>
        <w:tabs>
          <w:tab w:leader="none" w:pos="461" w:val="left"/>
        </w:tabs>
        <w:numPr>
          <w:ilvl w:val="0"/>
          <w:numId w:val="7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Integra LifeSciences Holdings Corporation;</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7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7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20" w:hanging="461"/>
        <w:spacing w:after="0" w:line="276" w:lineRule="auto"/>
        <w:tabs>
          <w:tab w:leader="none" w:pos="461"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1" w:right="120" w:hanging="449"/>
        <w:spacing w:after="0" w:line="320" w:lineRule="auto"/>
        <w:tabs>
          <w:tab w:leader="none" w:pos="901" w:val="left"/>
        </w:tabs>
        <w:numPr>
          <w:ilvl w:val="1"/>
          <w:numId w:val="7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40" w:hanging="449"/>
        <w:spacing w:after="0" w:line="320" w:lineRule="auto"/>
        <w:tabs>
          <w:tab w:leader="none" w:pos="901" w:val="left"/>
        </w:tabs>
        <w:numPr>
          <w:ilvl w:val="1"/>
          <w:numId w:val="7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120" w:hanging="449"/>
        <w:spacing w:after="0" w:line="276" w:lineRule="auto"/>
        <w:tabs>
          <w:tab w:leader="none" w:pos="901" w:val="left"/>
        </w:tabs>
        <w:numPr>
          <w:ilvl w:val="1"/>
          <w:numId w:val="7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80" w:hanging="449"/>
        <w:spacing w:after="0" w:line="276" w:lineRule="auto"/>
        <w:tabs>
          <w:tab w:leader="none" w:pos="901" w:val="left"/>
        </w:tabs>
        <w:numPr>
          <w:ilvl w:val="1"/>
          <w:numId w:val="7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hanging="461"/>
        <w:spacing w:after="0" w:line="276" w:lineRule="auto"/>
        <w:tabs>
          <w:tab w:leader="none" w:pos="461"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901" w:right="60" w:hanging="449"/>
        <w:spacing w:after="0" w:line="276" w:lineRule="auto"/>
        <w:tabs>
          <w:tab w:leader="none" w:pos="901" w:val="left"/>
        </w:tabs>
        <w:numPr>
          <w:ilvl w:val="1"/>
          <w:numId w:val="7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7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23, 2011</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Stuart M. Essig</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1"/>
          </w:cols>
          <w:pgMar w:left="219" w:top="127" w:right="2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John B. Henneman, III, certify that:</w:t>
      </w:r>
    </w:p>
    <w:p>
      <w:pPr>
        <w:spacing w:after="0" w:line="86" w:lineRule="exact"/>
        <w:rPr>
          <w:sz w:val="20"/>
          <w:szCs w:val="20"/>
          <w:color w:val="auto"/>
        </w:rPr>
      </w:pPr>
    </w:p>
    <w:p>
      <w:pPr>
        <w:ind w:left="461" w:hanging="461"/>
        <w:spacing w:after="0"/>
        <w:tabs>
          <w:tab w:leader="none" w:pos="461" w:val="left"/>
        </w:tabs>
        <w:numPr>
          <w:ilvl w:val="0"/>
          <w:numId w:val="7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Integra LifeSciences Holdings Corporation;</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20" w:hanging="461"/>
        <w:spacing w:after="0" w:line="276" w:lineRule="auto"/>
        <w:tabs>
          <w:tab w:leader="none" w:pos="461"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1" w:right="120" w:hanging="449"/>
        <w:spacing w:after="0" w:line="320" w:lineRule="auto"/>
        <w:tabs>
          <w:tab w:leader="none" w:pos="901" w:val="left"/>
        </w:tabs>
        <w:numPr>
          <w:ilvl w:val="1"/>
          <w:numId w:val="7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40" w:hanging="449"/>
        <w:spacing w:after="0" w:line="320" w:lineRule="auto"/>
        <w:tabs>
          <w:tab w:leader="none" w:pos="901" w:val="left"/>
        </w:tabs>
        <w:numPr>
          <w:ilvl w:val="1"/>
          <w:numId w:val="7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120" w:hanging="449"/>
        <w:spacing w:after="0" w:line="276" w:lineRule="auto"/>
        <w:tabs>
          <w:tab w:leader="none" w:pos="901" w:val="left"/>
        </w:tabs>
        <w:numPr>
          <w:ilvl w:val="1"/>
          <w:numId w:val="7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80" w:hanging="449"/>
        <w:spacing w:after="0" w:line="276" w:lineRule="auto"/>
        <w:tabs>
          <w:tab w:leader="none" w:pos="901" w:val="left"/>
        </w:tabs>
        <w:numPr>
          <w:ilvl w:val="1"/>
          <w:numId w:val="7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hanging="461"/>
        <w:spacing w:after="0" w:line="276" w:lineRule="auto"/>
        <w:tabs>
          <w:tab w:leader="none" w:pos="461"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901" w:right="60" w:hanging="449"/>
        <w:spacing w:after="0" w:line="276" w:lineRule="auto"/>
        <w:tabs>
          <w:tab w:leader="none" w:pos="901" w:val="left"/>
        </w:tabs>
        <w:numPr>
          <w:ilvl w:val="1"/>
          <w:numId w:val="7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7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23, 2011</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John B. Henneman, III</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Executive Vice President, Finance and</w:t>
      </w:r>
    </w:p>
    <w:p>
      <w:pPr>
        <w:spacing w:after="0" w:line="8"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Administration, and Chief Financial Officer</w:t>
      </w:r>
    </w:p>
    <w:p>
      <w:pPr>
        <w:sectPr>
          <w:pgSz w:w="11900" w:h="16838" w:orient="portrait"/>
          <w:cols w:equalWidth="0" w:num="1">
            <w:col w:w="11461"/>
          </w:cols>
          <w:pgMar w:left="219" w:top="127" w:right="2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Stuart M. Essig, Chief Executive Officer of Integra LifeSciences Holdings Corporation (the “Company”), hereby certify that, to my knowledge:</w:t>
      </w:r>
    </w:p>
    <w:p>
      <w:pPr>
        <w:spacing w:after="0" w:line="86" w:lineRule="exact"/>
        <w:rPr>
          <w:sz w:val="20"/>
          <w:szCs w:val="20"/>
          <w:color w:val="auto"/>
        </w:rPr>
      </w:pPr>
    </w:p>
    <w:p>
      <w:pPr>
        <w:ind w:left="461" w:right="120" w:hanging="461"/>
        <w:spacing w:after="0" w:line="276" w:lineRule="auto"/>
        <w:tabs>
          <w:tab w:leader="none" w:pos="461"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year ended December 31, 2010 (the “Report”) fully complies with the requirements of Section 13(a) or Section 15(d), as applicable, of the Securities Exchange Act of 1934, as amended; and</w:t>
      </w:r>
    </w:p>
    <w:p>
      <w:pPr>
        <w:spacing w:after="0" w:line="59" w:lineRule="exact"/>
        <w:rPr>
          <w:rFonts w:ascii="Arial" w:cs="Arial" w:eastAsia="Arial" w:hAnsi="Arial"/>
          <w:sz w:val="13"/>
          <w:szCs w:val="13"/>
          <w:color w:val="auto"/>
        </w:rPr>
      </w:pPr>
    </w:p>
    <w:p>
      <w:pPr>
        <w:ind w:left="461" w:hanging="461"/>
        <w:spacing w:after="0"/>
        <w:tabs>
          <w:tab w:leader="none" w:pos="461"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23, 2011</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Stuart M. Essig</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1"/>
          </w:cols>
          <w:pgMar w:left="219" w:top="127" w:right="2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2"/>
          <w:szCs w:val="12"/>
          <w:color w:val="auto"/>
        </w:rPr>
        <w:t>I, John B. Henneman, III, Executive Vice President, Finance and Administration, and Chief Financial Officer of Integra LifeSciences Holdings Corporation (the “Company”), hereby certify that, to my knowledge:</w:t>
      </w:r>
    </w:p>
    <w:p>
      <w:pPr>
        <w:spacing w:after="0" w:line="98" w:lineRule="exact"/>
        <w:rPr>
          <w:sz w:val="20"/>
          <w:szCs w:val="20"/>
          <w:color w:val="auto"/>
        </w:rPr>
      </w:pPr>
    </w:p>
    <w:p>
      <w:pPr>
        <w:ind w:left="461" w:right="120" w:hanging="461"/>
        <w:spacing w:after="0" w:line="276" w:lineRule="auto"/>
        <w:tabs>
          <w:tab w:leader="none" w:pos="461"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year ended December 31, 2010 (the “Report”) fully complies with the requirements of Section 13(a) or Section 15(d), as applicable, of the Securities Exchange Act of 1934, as amended; and</w:t>
      </w:r>
    </w:p>
    <w:p>
      <w:pPr>
        <w:spacing w:after="0" w:line="59" w:lineRule="exact"/>
        <w:rPr>
          <w:rFonts w:ascii="Arial" w:cs="Arial" w:eastAsia="Arial" w:hAnsi="Arial"/>
          <w:sz w:val="13"/>
          <w:szCs w:val="13"/>
          <w:color w:val="auto"/>
        </w:rPr>
      </w:pPr>
    </w:p>
    <w:p>
      <w:pPr>
        <w:ind w:left="461" w:hanging="461"/>
        <w:spacing w:after="0"/>
        <w:tabs>
          <w:tab w:leader="none" w:pos="461"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23, 2011</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John B. Henneman, III</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Executive Vice President, Finance and</w:t>
      </w:r>
    </w:p>
    <w:p>
      <w:pPr>
        <w:spacing w:after="0" w:line="8"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Administration, and Chief Financial Officer</w:t>
      </w:r>
    </w:p>
    <w:sectPr>
      <w:pgSz w:w="11900" w:h="16838" w:orient="portrait"/>
      <w:cols w:equalWidth="0" w:num="1">
        <w:col w:w="11461"/>
      </w:cols>
      <w:pgMar w:left="219" w:top="4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o"/>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1"/>
    </w:lvl>
    <w:lvl w:ilvl="1">
      <w:lvlJc w:val="left"/>
      <w:lvlText w:val="(%2)"/>
      <w:numFmt w:val="lowerLetter"/>
      <w:start w:val="1"/>
    </w:lvl>
  </w:abstractNum>
  <w:abstractNum w:abstractNumId="17">
    <w:nsid w:val="32FFF902"/>
    <w:multiLevelType w:val="hybridMultilevel"/>
    <w:lvl w:ilvl="0">
      <w:lvlJc w:val="left"/>
      <w:lvlText w:val="%1."/>
      <w:numFmt w:val="decimal"/>
      <w:start w:val="1"/>
    </w:lvl>
    <w:lvl w:ilvl="1">
      <w:lvlJc w:val="left"/>
      <w:lvlText w:val="%2"/>
      <w:numFmt w:val="lowerLetter"/>
      <w:start w:val="1"/>
    </w:lvl>
  </w:abstractNum>
  <w:abstractNum w:abstractNumId="18">
    <w:nsid w:val="684A481A"/>
    <w:multiLevelType w:val="hybridMultilevel"/>
    <w:lvl w:ilvl="0">
      <w:lvlJc w:val="left"/>
      <w:lvlText w:val="%1."/>
      <w:numFmt w:val="decimal"/>
      <w:start w:val="3"/>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2"/>
    </w:lvl>
  </w:abstractNum>
  <w:abstractNum w:abstractNumId="23">
    <w:nsid w:val="79A1DEAA"/>
    <w:multiLevelType w:val="hybridMultilevel"/>
    <w:lvl w:ilvl="0">
      <w:lvlJc w:val="left"/>
      <w:lvlText w:val="%1."/>
      <w:numFmt w:val="decimal"/>
      <w:start w:val="3"/>
    </w:lvl>
  </w:abstractNum>
  <w:abstractNum w:abstractNumId="24">
    <w:nsid w:val="75C6C33A"/>
    <w:multiLevelType w:val="hybridMultilevel"/>
    <w:lvl w:ilvl="0">
      <w:lvlJc w:val="left"/>
      <w:lvlText w:val="%1."/>
      <w:numFmt w:val="decimal"/>
      <w:start w:val="4"/>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1."/>
      <w:numFmt w:val="decimal"/>
      <w:start w:val="5"/>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6"/>
    </w:lvl>
  </w:abstractNum>
  <w:abstractNum w:abstractNumId="29">
    <w:nsid w:val="4F4EF005"/>
    <w:multiLevelType w:val="hybridMultilevel"/>
    <w:lvl w:ilvl="0">
      <w:lvlJc w:val="left"/>
      <w:lvlText w:val="%1."/>
      <w:numFmt w:val="decimal"/>
      <w:start w:val="7"/>
    </w:lvl>
  </w:abstractNum>
  <w:abstractNum w:abstractNumId="30">
    <w:nsid w:val="23F9C13C"/>
    <w:multiLevelType w:val="hybridMultilevel"/>
    <w:lvl w:ilvl="0">
      <w:lvlJc w:val="left"/>
      <w:lvlText w:val="%1."/>
      <w:numFmt w:val="decimal"/>
      <w:start w:val="8"/>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decimal"/>
      <w:start w:val="9"/>
    </w:lvl>
  </w:abstractNum>
  <w:abstractNum w:abstractNumId="33">
    <w:nsid w:val="39386575"/>
    <w:multiLevelType w:val="hybridMultilevel"/>
    <w:lvl w:ilvl="0">
      <w:lvlJc w:val="left"/>
      <w:lvlText w:val="%1."/>
      <w:numFmt w:val="decimal"/>
      <w:start w:val="11"/>
    </w:lvl>
  </w:abstractNum>
  <w:abstractNum w:abstractNumId="34">
    <w:nsid w:val="1CF10FD8"/>
    <w:multiLevelType w:val="hybridMultilevel"/>
    <w:lvl w:ilvl="0">
      <w:lvlJc w:val="left"/>
      <w:lvlText w:val="%1."/>
      <w:numFmt w:val="decimal"/>
      <w:start w:val="12"/>
    </w:lvl>
  </w:abstractNum>
  <w:abstractNum w:abstractNumId="35">
    <w:nsid w:val="180115BE"/>
    <w:multiLevelType w:val="hybridMultilevel"/>
    <w:lvl w:ilvl="0">
      <w:lvlJc w:val="left"/>
      <w:lvlText w:val="%1."/>
      <w:numFmt w:val="decimal"/>
      <w:start w:val="13"/>
    </w:lvl>
  </w:abstractNum>
  <w:abstractNum w:abstractNumId="36">
    <w:nsid w:val="235BA861"/>
    <w:multiLevelType w:val="hybridMultilevel"/>
    <w:lvl w:ilvl="0">
      <w:lvlJc w:val="left"/>
      <w:lvlText w:val="%1."/>
      <w:numFmt w:val="decimal"/>
      <w:start w:val="14"/>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2">
    <w:nsid w:val="10233C99"/>
    <w:multiLevelType w:val="hybridMultilevel"/>
    <w:lvl w:ilvl="0">
      <w:lvlJc w:val="left"/>
      <w:lvlText w:val="%1"/>
      <w:numFmt w:val="lowerLetter"/>
      <w:start w:val="1"/>
    </w:lvl>
    <w:lvl w:ilvl="1">
      <w:lvlJc w:val="left"/>
      <w:lvlText w:val="(%2)"/>
      <w:numFmt w:val="decimal"/>
      <w:start w:val="5"/>
    </w:lvl>
  </w:abstractNum>
  <w:abstractNum w:abstractNumId="43">
    <w:nsid w:val="3F6AB60F"/>
    <w:multiLevelType w:val="hybridMultilevel"/>
    <w:lvl w:ilvl="0">
      <w:lvlJc w:val="left"/>
      <w:lvlText w:val="(%1)"/>
      <w:numFmt w:val="lowerLetter"/>
      <w:start w:val="4"/>
    </w:lvl>
    <w:lvl w:ilvl="1">
      <w:lvlJc w:val="left"/>
      <w:lvlText w:val="(%2)"/>
      <w:numFmt w:val="decimal"/>
      <w:start w:val="1"/>
    </w:lvl>
  </w:abstractNum>
  <w:abstractNum w:abstractNumId="44">
    <w:nsid w:val="61574095"/>
    <w:multiLevelType w:val="hybridMultilevel"/>
    <w:lvl w:ilvl="0">
      <w:lvlJc w:val="left"/>
      <w:lvlText w:val="%1"/>
      <w:numFmt w:val="lowerLetter"/>
      <w:start w:val="1"/>
    </w:lvl>
    <w:lvl w:ilvl="1">
      <w:lvlJc w:val="left"/>
      <w:lvlText w:val="(%2)"/>
      <w:numFmt w:val="decimal"/>
      <w:start w:val="3"/>
    </w:lvl>
  </w:abstractNum>
  <w:abstractNum w:abstractNumId="45">
    <w:nsid w:val="7E0C57B1"/>
    <w:multiLevelType w:val="hybridMultilevel"/>
    <w:lvl w:ilvl="0">
      <w:lvlJc w:val="left"/>
      <w:lvlText w:val="(%1)"/>
      <w:numFmt w:val="lowerLetter"/>
      <w:start w:val="5"/>
    </w:lvl>
    <w:lvl w:ilvl="1">
      <w:lvlJc w:val="left"/>
      <w:lvlText w:val="%2"/>
      <w:numFmt w:val="decimal"/>
      <w:start w:val="1"/>
    </w:lvl>
  </w:abstractNum>
  <w:abstractNum w:abstractNumId="46">
    <w:nsid w:val="77AE35EB"/>
    <w:multiLevelType w:val="hybridMultilevel"/>
    <w:lvl w:ilvl="0">
      <w:lvlJc w:val="left"/>
      <w:lvlText w:val="(%1)"/>
      <w:numFmt w:val="lowerLetter"/>
      <w:start w:val="6"/>
    </w:lvl>
    <w:lvl w:ilvl="1">
      <w:lvlJc w:val="left"/>
      <w:lvlText w:val="(%2)"/>
      <w:numFmt w:val="decimal"/>
      <w:start w:val="1"/>
    </w:lvl>
  </w:abstractNum>
  <w:abstractNum w:abstractNumId="47">
    <w:nsid w:val="579BE4F1"/>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48">
    <w:nsid w:val="310C50B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9">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0">
    <w:nsid w:val="2F305DE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5"/>
    </w:lvl>
  </w:abstractNum>
  <w:abstractNum w:abstractNumId="51">
    <w:nsid w:val="25A70BF7"/>
    <w:multiLevelType w:val="hybridMultilevel"/>
    <w:lvl w:ilvl="0">
      <w:lvlJc w:val="left"/>
      <w:lvlText w:val="(%1)"/>
      <w:numFmt w:val="lowerRoman"/>
      <w:start w:val="1"/>
    </w:lvl>
  </w:abstractNum>
  <w:abstractNum w:abstractNumId="52">
    <w:nsid w:val="1DBABF00"/>
    <w:multiLevelType w:val="hybridMultilevel"/>
    <w:lvl w:ilvl="0">
      <w:lvlJc w:val="left"/>
      <w:lvlText w:val="(%1)"/>
      <w:numFmt w:val="lowerRoman"/>
      <w:start w:val="3"/>
    </w:lvl>
    <w:lvl w:ilvl="1">
      <w:lvlJc w:val="left"/>
      <w:lvlText w:val="(%2)"/>
      <w:numFmt w:val="upperLetter"/>
      <w:start w:val="1"/>
    </w:lvl>
  </w:abstractNum>
  <w:abstractNum w:abstractNumId="53">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54">
    <w:nsid w:val="1F48EAA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5">
    <w:nsid w:val="1381823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6">
    <w:nsid w:val="5DB70AE5"/>
    <w:multiLevelType w:val="hybridMultilevel"/>
    <w:lvl w:ilvl="0">
      <w:lvlJc w:val="left"/>
      <w:lvlText w:val="(%1)"/>
      <w:numFmt w:val="lowerLetter"/>
      <w:start w:val="2"/>
    </w:lvl>
  </w:abstractNum>
  <w:abstractNum w:abstractNumId="57">
    <w:nsid w:val="100F8FCA"/>
    <w:multiLevelType w:val="hybridMultilevel"/>
    <w:lvl w:ilvl="0">
      <w:lvlJc w:val="left"/>
      <w:lvlText w:val="(%1)"/>
      <w:numFmt w:val="lowerLetter"/>
      <w:start w:val="3"/>
    </w:lvl>
  </w:abstractNum>
  <w:abstractNum w:abstractNumId="58">
    <w:nsid w:val="6590700B"/>
    <w:multiLevelType w:val="hybridMultilevel"/>
    <w:lvl w:ilvl="0">
      <w:lvlJc w:val="left"/>
      <w:lvlText w:val="%1."/>
      <w:numFmt w:val="decimal"/>
      <w:start w:val="6"/>
    </w:lvl>
  </w:abstractNum>
  <w:abstractNum w:abstractNumId="59">
    <w:nsid w:val="15014ACB"/>
    <w:multiLevelType w:val="hybridMultilevel"/>
    <w:lvl w:ilvl="0">
      <w:lvlJc w:val="left"/>
      <w:lvlText w:val="%1."/>
      <w:numFmt w:val="decimal"/>
      <w:start w:val="15"/>
    </w:lvl>
    <w:lvl w:ilvl="1">
      <w:lvlJc w:val="left"/>
      <w:lvlText w:val="(%2)"/>
      <w:numFmt w:val="lowerLetter"/>
      <w:start w:val="1"/>
    </w:lvl>
  </w:abstractNum>
  <w:abstractNum w:abstractNumId="60">
    <w:nsid w:val="5F5E7FD0"/>
    <w:multiLevelType w:val="hybridMultilevel"/>
    <w:lvl w:ilvl="0">
      <w:lvlJc w:val="left"/>
      <w:lvlText w:val="(%1)"/>
      <w:numFmt w:val="lowerRoman"/>
      <w:start w:val="1"/>
    </w:lvl>
  </w:abstractNum>
  <w:abstractNum w:abstractNumId="61">
    <w:nsid w:val="98A3148"/>
    <w:multiLevelType w:val="hybridMultilevel"/>
    <w:lvl w:ilvl="0">
      <w:lvlJc w:val="left"/>
      <w:lvlText w:val="(%1)"/>
      <w:numFmt w:val="lowerLetter"/>
      <w:start w:val="10"/>
    </w:lvl>
    <w:lvl w:ilvl="1">
      <w:lvlJc w:val="left"/>
      <w:lvlText w:val="(%2)"/>
      <w:numFmt w:val="lowerRoman"/>
      <w:start w:val="1"/>
    </w:lvl>
  </w:abstractNum>
  <w:abstractNum w:abstractNumId="62">
    <w:nsid w:val="799D0247"/>
    <w:multiLevelType w:val="hybridMultilevel"/>
    <w:lvl w:ilvl="0">
      <w:lvlJc w:val="left"/>
      <w:lvlText w:val="(%1)"/>
      <w:numFmt w:val="lowerRoman"/>
      <w:start w:val="2"/>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5">
    <w:nsid w:val="168E121F"/>
    <w:multiLevelType w:val="hybridMultilevel"/>
    <w:lvl w:ilvl="0">
      <w:lvlJc w:val="left"/>
      <w:lvlText w:val="%1."/>
      <w:numFmt w:val="decimal"/>
      <w:start w:val="5"/>
    </w:lvl>
    <w:lvl w:ilvl="1">
      <w:lvlJc w:val="left"/>
      <w:lvlText w:val="(%2)"/>
      <w:numFmt w:val="lowerLetter"/>
      <w:start w:val="1"/>
    </w:lvl>
  </w:abstractNum>
  <w:abstractNum w:abstractNumId="66">
    <w:nsid w:val="1EBA5D23"/>
    <w:multiLevelType w:val="hybridMultilevel"/>
    <w:lvl w:ilvl="0">
      <w:lvlJc w:val="left"/>
      <w:lvlText w:val="%1"/>
      <w:numFmt w:val="decimal"/>
      <w:start w:val="1"/>
    </w:lvl>
    <w:lvl w:ilvl="1">
      <w:lvlJc w:val="left"/>
      <w:lvlText w:val="(%2)"/>
      <w:numFmt w:val="lowerLetter"/>
      <w:start w:val="5"/>
    </w:lvl>
  </w:abstractNum>
  <w:abstractNum w:abstractNumId="67">
    <w:nsid w:val="661E3F1E"/>
    <w:multiLevelType w:val="hybridMultilevel"/>
    <w:lvl w:ilvl="0">
      <w:lvlJc w:val="left"/>
      <w:lvlText w:val="%1."/>
      <w:numFmt w:val="decimal"/>
      <w:start w:val="7"/>
    </w:lvl>
    <w:lvl w:ilvl="1">
      <w:lvlJc w:val="left"/>
      <w:lvlText w:val="%2"/>
      <w:numFmt w:val="lowerLetter"/>
      <w:start w:val="1"/>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lowerLetter"/>
      <w:start w:val="5"/>
    </w:lvl>
  </w:abstractNum>
  <w:abstractNum w:abstractNumId="70">
    <w:nsid w:val="7BD3EE7B"/>
    <w:multiLevelType w:val="hybridMultilevel"/>
    <w:lvl w:ilvl="0">
      <w:lvlJc w:val="left"/>
      <w:lvlText w:val="(%1)"/>
      <w:numFmt w:val="lowerLetter"/>
      <w:start w:val="35"/>
    </w:lvl>
    <w:lvl w:ilvl="1">
      <w:lvlJc w:val="left"/>
      <w:lvlText w:val="(%2)"/>
      <w:numFmt w:val="lowerLetter"/>
      <w:start w:val="9"/>
    </w:lvl>
  </w:abstractNum>
  <w:abstractNum w:abstractNumId="71">
    <w:nsid w:val="51D9C564"/>
    <w:multiLevelType w:val="hybridMultilevel"/>
    <w:lvl w:ilvl="0">
      <w:lvlJc w:val="left"/>
      <w:lvlText w:val="%1."/>
      <w:numFmt w:val="decimal"/>
      <w:start w:val="9"/>
    </w:lvl>
  </w:abstractNum>
  <w:abstractNum w:abstractNumId="72">
    <w:nsid w:val="613EFDC5"/>
    <w:multiLevelType w:val="hybridMultilevel"/>
    <w:lvl w:ilvl="0">
      <w:lvlJc w:val="left"/>
      <w:lvlText w:val="%1."/>
      <w:numFmt w:val="decimal"/>
      <w:start w:val="12"/>
    </w:lvl>
  </w:abstractNum>
  <w:abstractNum w:abstractNumId="73">
    <w:nsid w:val="BF72B14"/>
    <w:multiLevelType w:val="hybridMultilevel"/>
    <w:lvl w:ilvl="0">
      <w:lvlJc w:val="left"/>
      <w:lvlText w:val="%1."/>
      <w:numFmt w:val="decimal"/>
      <w:start w:val="15"/>
    </w:lvl>
  </w:abstractNum>
  <w:abstractNum w:abstractNumId="74">
    <w:nsid w:val="11447B73"/>
    <w:multiLevelType w:val="hybridMultilevel"/>
    <w:lvl w:ilvl="0">
      <w:lvlJc w:val="left"/>
      <w:lvlText w:val="%1."/>
      <w:numFmt w:val="decimal"/>
      <w:start w:val="2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2019-12-10T13:12:09Z</dcterms:created>
  <dcterms:modified xsi:type="dcterms:W3CDTF">2019-12-10T13:12:09Z</dcterms:modified>
</cp:coreProperties>
</file>