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color w:val="000000"/>
        </w:rPr>
      </w:pPr>
      <w:r>
        <w:rPr>
          <w:color w:val="000000"/>
        </w:rPr>
        <w:t> </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spacing w:lineRule="auto" w:line="288" w:before="80" w:after="283"/>
        <w:jc w:val="center"/>
        <w:rPr>
          <w:color w:val="000000"/>
        </w:rPr>
      </w:pPr>
      <w:r>
        <w:rPr>
          <w:color w:val="000000"/>
        </w:rPr>
        <w:t> </w:t>
      </w:r>
    </w:p>
    <w:p>
      <w:pPr>
        <w:pStyle w:val="TextBody"/>
        <w:spacing w:lineRule="auto" w:line="288" w:before="100" w:after="283"/>
        <w:rPr>
          <w:rFonts w:ascii="Times New Roman;sans-serif" w:hAnsi="Times New Roman;sans-serif"/>
          <w:b/>
          <w:color w:val="000000"/>
          <w:sz w:val="18"/>
        </w:rPr>
      </w:pPr>
      <w:r>
        <w:rPr>
          <w:rFonts w:ascii="Times New Roman;sans-serif" w:hAnsi="Times New Roman;sans-serif"/>
          <w:b/>
          <w:color w:val="000000"/>
          <w:sz w:val="18"/>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before="0" w:after="0"/>
        <w:rPr/>
      </w:pPr>
      <w:r>
        <w:rPr/>
      </w:r>
    </w:p>
    <w:p>
      <w:pPr>
        <w:pStyle w:val="TextBody"/>
        <w:spacing w:lineRule="auto" w:line="288" w:before="0" w:after="0"/>
        <w:jc w:val="center"/>
        <w:rPr/>
      </w:pPr>
      <w:r>
        <w:rPr>
          <w:rFonts w:ascii="Times New Roman;sans-serif" w:hAnsi="Times New Roman;sans-serif"/>
          <w:b/>
          <w:color w:val="000000"/>
          <w:sz w:val="18"/>
        </w:rPr>
        <w:t>For the transition period from              to  </w:t>
      </w:r>
      <w:r>
        <w:rPr>
          <w:color w:val="000000"/>
        </w:rPr>
        <w:t xml:space="preserve">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000-26224 </w:t>
      </w:r>
    </w:p>
    <w:p>
      <w:pPr>
        <w:pStyle w:val="TextBody"/>
        <w:spacing w:lineRule="auto" w:line="288" w:before="0" w:after="0"/>
        <w:jc w:val="center"/>
        <w:rPr>
          <w:color w:val="000000"/>
        </w:rPr>
      </w:pPr>
      <w:r>
        <w:rPr>
          <w:color w:val="000000"/>
        </w:rPr>
        <w:t> </w:t>
      </w:r>
    </w:p>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INTEGRA LIFESCIENCES HOLDINGS CORPORATION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spacing w:lineRule="auto" w:line="288" w:before="0" w:after="0"/>
        <w:jc w:val="center"/>
        <w:rPr>
          <w:color w:val="000000"/>
        </w:rPr>
      </w:pPr>
      <w:r>
        <w:rPr>
          <w:color w:val="000000"/>
        </w:rPr>
        <w:t> </w:t>
      </w:r>
    </w:p>
    <w:tbl>
      <w:tblPr>
        <w:tblW w:w="6292" w:type="dxa"/>
        <w:jc w:val="left"/>
        <w:tblInd w:w="0" w:type="dxa"/>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r>
      <w:tr>
        <w:trPr/>
        <w:tc>
          <w:tcPr>
            <w:tcW w:w="4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51-0317849</w:t>
            </w:r>
          </w:p>
        </w:tc>
      </w:tr>
      <w:tr>
        <w:trPr/>
        <w:tc>
          <w:tcPr>
            <w:tcW w:w="4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4015"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1100 Campus Road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08540</w:t>
            </w:r>
          </w:p>
        </w:tc>
      </w:tr>
      <w:tr>
        <w:trPr/>
        <w:tc>
          <w:tcPr>
            <w:tcW w:w="13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Princeton</w:t>
            </w:r>
          </w:p>
        </w:tc>
        <w:tc>
          <w:tcPr>
            <w:tcW w:w="1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Jersey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401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50"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spacing w:lineRule="auto" w:line="288" w:before="1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(609) 275-0500 </w:t>
      </w:r>
    </w:p>
    <w:p>
      <w:pPr>
        <w:pStyle w:val="TextBody"/>
        <w:spacing w:lineRule="auto" w:line="288" w:before="120" w:after="120"/>
        <w:jc w:val="center"/>
        <w:rPr>
          <w:rFonts w:ascii="Times New Roman;sans-serif" w:hAnsi="Times New Roman;sans-serif"/>
          <w:b/>
          <w:color w:val="000000"/>
          <w:sz w:val="18"/>
        </w:rPr>
      </w:pPr>
      <w:r>
        <w:rPr>
          <w:rFonts w:ascii="Times New Roman;sans-serif" w:hAnsi="Times New Roman;sans-serif"/>
          <w:b/>
          <w:color w:val="000000"/>
          <w:sz w:val="18"/>
        </w:rPr>
        <w:t xml:space="preserve">Former Name, Former Address and Former Fiscal Year, if Changed Since Last Report: </w:t>
      </w:r>
    </w:p>
    <w:p>
      <w:pPr>
        <w:pStyle w:val="TextBody"/>
        <w:spacing w:lineRule="auto" w:line="288" w:before="120" w:after="120"/>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838" w:type="dxa"/>
        <w:jc w:val="center"/>
        <w:tblInd w:w="0" w:type="dxa"/>
        <w:tblCellMar>
          <w:top w:w="28" w:type="dxa"/>
          <w:left w:w="28" w:type="dxa"/>
          <w:bottom w:w="28" w:type="dxa"/>
          <w:right w:w="28" w:type="dxa"/>
        </w:tblCellMar>
      </w:tblPr>
      <w:tblGrid>
        <w:gridCol w:w="1129"/>
        <w:gridCol w:w="991"/>
        <w:gridCol w:w="1000"/>
        <w:gridCol w:w="599"/>
        <w:gridCol w:w="599"/>
        <w:gridCol w:w="601"/>
        <w:gridCol w:w="1438"/>
        <w:gridCol w:w="1438"/>
        <w:gridCol w:w="2043"/>
      </w:tblGrid>
      <w:tr>
        <w:trPr/>
        <w:tc>
          <w:tcPr>
            <w:tcW w:w="1129"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$.01 Per Share</w:t>
            </w:r>
          </w:p>
        </w:tc>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IART</w:t>
            </w:r>
          </w:p>
        </w:tc>
        <w:tc>
          <w:tcPr>
            <w:tcW w:w="4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spacing w:lineRule="auto" w:line="288"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pPr>
      <w:r>
        <w:rPr/>
      </w:r>
    </w:p>
    <w:p>
      <w:pPr>
        <w:pStyle w:val="TextBody"/>
        <w:spacing w:before="180" w:after="283"/>
        <w:jc w:val="both"/>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tbl>
      <w:tblPr>
        <w:tblW w:w="4888" w:type="dxa"/>
        <w:jc w:val="left"/>
        <w:tblInd w:w="0" w:type="dxa"/>
        <w:tblCellMar>
          <w:top w:w="28" w:type="dxa"/>
          <w:left w:w="28" w:type="dxa"/>
          <w:bottom w:w="28" w:type="dxa"/>
          <w:right w:w="28" w:type="dxa"/>
        </w:tblCellMar>
      </w:tblPr>
      <w:tblGrid>
        <w:gridCol w:w="744"/>
        <w:gridCol w:w="654"/>
        <w:gridCol w:w="656"/>
        <w:gridCol w:w="145"/>
        <w:gridCol w:w="145"/>
        <w:gridCol w:w="146"/>
        <w:gridCol w:w="674"/>
        <w:gridCol w:w="674"/>
        <w:gridCol w:w="678"/>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  </w:t>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120"/>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p>
      <w:pPr>
        <w:pStyle w:val="TextBody"/>
        <w:spacing w:lineRule="auto" w:line="288" w:before="120" w:after="120"/>
        <w:jc w:val="both"/>
        <w:rPr>
          <w:rFonts w:ascii="Times New Roman;sans-serif" w:hAnsi="Times New Roman;sans-serif"/>
          <w:b w:val="false"/>
          <w:color w:val="000000"/>
          <w:sz w:val="18"/>
        </w:rPr>
      </w:pPr>
      <w:r>
        <w:rPr>
          <w:rFonts w:ascii="Times New Roman;sans-serif" w:hAnsi="Times New Roman;sans-serif"/>
          <w:b w:val="false"/>
          <w:color w:val="000000"/>
          <w:sz w:val="18"/>
        </w:rPr>
        <w:t>The number of shares of the registrant’s Common Stock, $0.01 par value, outstanding as of April 25, 2023 was 81,904,442.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before="0" w:after="0"/>
        <w:jc w:val="center"/>
        <w:rPr/>
      </w:pPr>
      <w:r>
        <w:rPr/>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410"/>
        <w:gridCol w:w="2996"/>
        <w:gridCol w:w="3001"/>
        <w:gridCol w:w="233"/>
        <w:gridCol w:w="233"/>
        <w:gridCol w:w="332"/>
      </w:tblGrid>
      <w:tr>
        <w:trPr/>
        <w:tc>
          <w:tcPr>
            <w:tcW w:w="3410" w:type="dxa"/>
            <w:tcBorders/>
            <w:shd w:fill="auto" w:val="clear"/>
            <w:vAlign w:val="center"/>
          </w:tcPr>
          <w:p>
            <w:pPr>
              <w:pStyle w:val="TableContents"/>
              <w:spacing w:before="0" w:after="283"/>
              <w:rPr>
                <w:sz w:val="4"/>
                <w:szCs w:val="4"/>
              </w:rPr>
            </w:pPr>
            <w:r>
              <w:rPr>
                <w:sz w:val="4"/>
                <w:szCs w:val="4"/>
              </w:rPr>
            </w:r>
          </w:p>
        </w:tc>
        <w:tc>
          <w:tcPr>
            <w:tcW w:w="2996"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br/>
              <w:t>Number</w:t>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0">
              <w:r>
                <w:rPr>
                  <w:rStyle w:val="InternetLink"/>
                  <w:rFonts w:ascii="Times New Roman;sans-serif" w:hAnsi="Times New Roman;sans-serif"/>
                  <w:b w:val="false"/>
                  <w:color w:val="0000FF"/>
                  <w:sz w:val="18"/>
                  <w:u w:val="single"/>
                </w:rPr>
                <w:t>PART I. FINANCIAL INFORMATION</w:t>
              </w:r>
            </w:hyperlink>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3">
              <w:r>
                <w:rPr>
                  <w:rStyle w:val="InternetLink"/>
                  <w:rFonts w:ascii="Times New Roman;sans-serif" w:hAnsi="Times New Roman;sans-serif"/>
                  <w:b w:val="false"/>
                  <w:color w:val="0000FF"/>
                  <w:sz w:val="18"/>
                  <w:u w:val="single"/>
                </w:rPr>
                <w:t>Item 1. Financial Statements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3">
              <w:r>
                <w:rPr>
                  <w:rStyle w:val="InternetLink"/>
                  <w:rFonts w:ascii="Times New Roman;sans-serif" w:hAnsi="Times New Roman;sans-serif"/>
                  <w:b w:val="false"/>
                  <w:color w:val="0000FF"/>
                  <w:sz w:val="18"/>
                  <w:u w:val="single"/>
                </w:rPr>
                <w:t>4</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6">
              <w:r>
                <w:rPr>
                  <w:rStyle w:val="InternetLink"/>
                </w:rPr>
                <w:t>Condensed Consolidated Statements of Operations and Comprehensive Income for the three months ended March 31, 202</w:t>
              </w:r>
            </w:hyperlink>
            <w:hyperlink w:anchor="i5f1eb1bd01d541c3aa0777712077c048_16">
              <w:r>
                <w:rPr>
                  <w:rStyle w:val="InternetLink"/>
                </w:rPr>
                <w:t>3</w:t>
              </w:r>
            </w:hyperlink>
            <w:hyperlink w:anchor="i5f1eb1bd01d541c3aa0777712077c048_16">
              <w:r>
                <w:rPr>
                  <w:rStyle w:val="InternetLink"/>
                </w:rPr>
                <w:t xml:space="preserve"> and 202</w:t>
              </w:r>
            </w:hyperlink>
            <w:hyperlink w:anchor="i5f1eb1bd01d541c3aa0777712077c048_16">
              <w:r>
                <w:rPr>
                  <w:rStyle w:val="InternetLink"/>
                </w:rPr>
                <w:t>2</w:t>
              </w:r>
            </w:hyperlink>
            <w:hyperlink w:anchor="i5f1eb1bd01d541c3aa0777712077c048_16">
              <w:r>
                <w:rPr>
                  <w:rStyle w:val="InternetLink"/>
                </w:rPr>
                <w:t xml:space="preserve"> (Unaudited)</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6">
              <w:r>
                <w:rPr>
                  <w:rStyle w:val="InternetLink"/>
                  <w:rFonts w:ascii="Times New Roman;sans-serif" w:hAnsi="Times New Roman;sans-serif"/>
                  <w:b w:val="false"/>
                  <w:color w:val="0000FF"/>
                  <w:sz w:val="18"/>
                  <w:u w:val="single"/>
                </w:rPr>
                <w:t>4</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22">
              <w:r>
                <w:rPr>
                  <w:rStyle w:val="InternetLink"/>
                </w:rPr>
                <w:t>Condensed Consolidated Balance Sheets as of March 31, 202</w:t>
              </w:r>
            </w:hyperlink>
            <w:hyperlink w:anchor="i5f1eb1bd01d541c3aa0777712077c048_22">
              <w:r>
                <w:rPr>
                  <w:rStyle w:val="InternetLink"/>
                </w:rPr>
                <w:t>3</w:t>
              </w:r>
            </w:hyperlink>
            <w:hyperlink w:anchor="i5f1eb1bd01d541c3aa0777712077c048_22">
              <w:r>
                <w:rPr>
                  <w:rStyle w:val="InternetLink"/>
                </w:rPr>
                <w:t xml:space="preserve"> and December 31, 202</w:t>
              </w:r>
            </w:hyperlink>
            <w:hyperlink w:anchor="i5f1eb1bd01d541c3aa0777712077c048_22">
              <w:r>
                <w:rPr>
                  <w:rStyle w:val="InternetLink"/>
                </w:rPr>
                <w:t>2</w:t>
              </w:r>
            </w:hyperlink>
            <w:hyperlink w:anchor="i5f1eb1bd01d541c3aa0777712077c048_22">
              <w:r>
                <w:rPr>
                  <w:rStyle w:val="InternetLink"/>
                </w:rPr>
                <w:t xml:space="preserve"> (Unaudited)</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9">
              <w:r>
                <w:rPr>
                  <w:rStyle w:val="InternetLink"/>
                  <w:rFonts w:ascii="Times New Roman;sans-serif" w:hAnsi="Times New Roman;sans-serif"/>
                  <w:b w:val="false"/>
                  <w:color w:val="0000FF"/>
                  <w:sz w:val="18"/>
                  <w:u w:val="single"/>
                </w:rPr>
                <w:t>5</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25">
              <w:r>
                <w:rPr>
                  <w:rStyle w:val="InternetLink"/>
                </w:rPr>
                <w:t>Condensed Consolidated Statements of Cash Flows for the three months ended March 31, 202</w:t>
              </w:r>
            </w:hyperlink>
            <w:hyperlink w:anchor="i5f1eb1bd01d541c3aa0777712077c048_25">
              <w:r>
                <w:rPr>
                  <w:rStyle w:val="InternetLink"/>
                </w:rPr>
                <w:t>3</w:t>
              </w:r>
            </w:hyperlink>
            <w:hyperlink w:anchor="i5f1eb1bd01d541c3aa0777712077c048_25">
              <w:r>
                <w:rPr>
                  <w:rStyle w:val="InternetLink"/>
                </w:rPr>
                <w:t xml:space="preserve"> and 202</w:t>
              </w:r>
            </w:hyperlink>
            <w:hyperlink w:anchor="i5f1eb1bd01d541c3aa0777712077c048_25">
              <w:r>
                <w:rPr>
                  <w:rStyle w:val="InternetLink"/>
                </w:rPr>
                <w:t>2</w:t>
              </w:r>
            </w:hyperlink>
            <w:hyperlink w:anchor="i5f1eb1bd01d541c3aa0777712077c048_25">
              <w:r>
                <w:rPr>
                  <w:rStyle w:val="InternetLink"/>
                </w:rPr>
                <w:t xml:space="preserve"> (Unaudited)</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25">
              <w:r>
                <w:rPr>
                  <w:rStyle w:val="InternetLink"/>
                  <w:rFonts w:ascii="Times New Roman;sans-serif" w:hAnsi="Times New Roman;sans-serif"/>
                  <w:b w:val="false"/>
                  <w:color w:val="0000FF"/>
                  <w:sz w:val="18"/>
                  <w:u w:val="single"/>
                </w:rPr>
                <w:t>6</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28">
              <w:r>
                <w:rPr>
                  <w:rStyle w:val="InternetLink"/>
                </w:rPr>
                <w:t>Condensed Consolidated Statements of Changes in Shareholders' Equity for the three months ended March 31, 202</w:t>
              </w:r>
            </w:hyperlink>
            <w:hyperlink w:anchor="i5f1eb1bd01d541c3aa0777712077c048_28">
              <w:r>
                <w:rPr>
                  <w:rStyle w:val="InternetLink"/>
                </w:rPr>
                <w:t>3</w:t>
              </w:r>
            </w:hyperlink>
            <w:hyperlink w:anchor="i5f1eb1bd01d541c3aa0777712077c048_28">
              <w:r>
                <w:rPr>
                  <w:rStyle w:val="InternetLink"/>
                </w:rPr>
                <w:t xml:space="preserve"> and 202</w:t>
              </w:r>
            </w:hyperlink>
            <w:hyperlink w:anchor="i5f1eb1bd01d541c3aa0777712077c048_28">
              <w:r>
                <w:rPr>
                  <w:rStyle w:val="InternetLink"/>
                </w:rPr>
                <w:t>2</w:t>
              </w:r>
            </w:hyperlink>
            <w:hyperlink w:anchor="i5f1eb1bd01d541c3aa0777712077c048_28">
              <w:r>
                <w:rPr>
                  <w:rStyle w:val="InternetLink"/>
                </w:rPr>
                <w:t xml:space="preserve"> (Unaudited)</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28">
              <w:r>
                <w:rPr>
                  <w:rStyle w:val="InternetLink"/>
                  <w:rFonts w:ascii="Times New Roman;sans-serif" w:hAnsi="Times New Roman;sans-serif"/>
                  <w:b w:val="false"/>
                  <w:color w:val="0000FF"/>
                  <w:sz w:val="18"/>
                  <w:u w:val="single"/>
                </w:rPr>
                <w:t>7</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31">
              <w:r>
                <w:rPr>
                  <w:rStyle w:val="InternetLink"/>
                  <w:rFonts w:ascii="Times New Roman;sans-serif" w:hAnsi="Times New Roman;sans-serif"/>
                  <w:b w:val="false"/>
                  <w:color w:val="0000FF"/>
                  <w:sz w:val="18"/>
                  <w:u w:val="single"/>
                </w:rPr>
                <w:t>Notes to Unaudited Condensed Consolidated Financial Statements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31">
              <w:r>
                <w:rPr>
                  <w:rStyle w:val="InternetLink"/>
                  <w:rFonts w:ascii="Times New Roman;sans-serif" w:hAnsi="Times New Roman;sans-serif"/>
                  <w:b w:val="false"/>
                  <w:color w:val="0000FF"/>
                  <w:sz w:val="18"/>
                  <w:u w:val="single"/>
                </w:rPr>
                <w:t>8</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88">
              <w:r>
                <w:rPr>
                  <w:rStyle w:val="InternetLink"/>
                  <w:rFonts w:ascii="Times New Roman;sans-serif" w:hAnsi="Times New Roman;sans-serif"/>
                  <w:b w:val="false"/>
                  <w:color w:val="0000FF"/>
                  <w:sz w:val="18"/>
                  <w:u w:val="single"/>
                </w:rPr>
                <w:t>Item 2. Management’s Discussion and Analysis of Financial Condition and Results of Operations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88">
              <w:r>
                <w:rPr>
                  <w:rStyle w:val="InternetLink"/>
                  <w:rFonts w:ascii="Times New Roman;sans-serif" w:hAnsi="Times New Roman;sans-serif"/>
                  <w:b w:val="false"/>
                  <w:color w:val="0000FF"/>
                  <w:sz w:val="18"/>
                  <w:u w:val="single"/>
                </w:rPr>
                <w:t>30</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12">
              <w:r>
                <w:rPr>
                  <w:rStyle w:val="InternetLink"/>
                  <w:rFonts w:ascii="Times New Roman;sans-serif" w:hAnsi="Times New Roman;sans-serif"/>
                  <w:b w:val="false"/>
                  <w:color w:val="0000FF"/>
                  <w:sz w:val="18"/>
                  <w:u w:val="single"/>
                </w:rPr>
                <w:t>Item 3. Quantitative and Qualitative Disclosures About Market Risk</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12">
              <w:r>
                <w:rPr>
                  <w:rStyle w:val="InternetLink"/>
                  <w:rFonts w:ascii="Times New Roman;sans-serif" w:hAnsi="Times New Roman;sans-serif"/>
                  <w:b w:val="false"/>
                  <w:color w:val="0000FF"/>
                  <w:sz w:val="18"/>
                  <w:u w:val="single"/>
                </w:rPr>
                <w:t>40</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15">
              <w:r>
                <w:rPr>
                  <w:rStyle w:val="InternetLink"/>
                  <w:rFonts w:ascii="Times New Roman;sans-serif" w:hAnsi="Times New Roman;sans-serif"/>
                  <w:b w:val="false"/>
                  <w:color w:val="0000FF"/>
                  <w:sz w:val="18"/>
                  <w:u w:val="single"/>
                </w:rPr>
                <w:t>Item 4. Controls and Procedures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15">
              <w:r>
                <w:rPr>
                  <w:rStyle w:val="InternetLink"/>
                  <w:rFonts w:ascii="Times New Roman;sans-serif" w:hAnsi="Times New Roman;sans-serif"/>
                  <w:b w:val="false"/>
                  <w:color w:val="0000FF"/>
                  <w:sz w:val="18"/>
                  <w:u w:val="single"/>
                </w:rPr>
                <w:t>40</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18">
              <w:r>
                <w:rPr>
                  <w:rStyle w:val="InternetLink"/>
                  <w:rFonts w:ascii="Times New Roman;sans-serif" w:hAnsi="Times New Roman;sans-serif"/>
                  <w:b w:val="false"/>
                  <w:color w:val="0000FF"/>
                  <w:sz w:val="18"/>
                  <w:u w:val="single"/>
                </w:rPr>
                <w:t>PART II. OTHER INFORMATION</w:t>
              </w:r>
            </w:hyperlink>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21">
              <w:r>
                <w:rPr>
                  <w:rStyle w:val="InternetLink"/>
                  <w:rFonts w:ascii="Times New Roman;sans-serif" w:hAnsi="Times New Roman;sans-serif"/>
                  <w:b w:val="false"/>
                  <w:color w:val="0000FF"/>
                  <w:sz w:val="18"/>
                  <w:u w:val="single"/>
                </w:rPr>
                <w:t>Item 1. Legal Proceedings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21">
              <w:r>
                <w:rPr>
                  <w:rStyle w:val="InternetLink"/>
                  <w:rFonts w:ascii="Times New Roman;sans-serif" w:hAnsi="Times New Roman;sans-serif"/>
                  <w:b w:val="false"/>
                  <w:color w:val="0000FF"/>
                  <w:sz w:val="18"/>
                  <w:u w:val="single"/>
                </w:rPr>
                <w:t>41</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24">
              <w:r>
                <w:rPr>
                  <w:rStyle w:val="InternetLink"/>
                  <w:rFonts w:ascii="Times New Roman;sans-serif" w:hAnsi="Times New Roman;sans-serif"/>
                  <w:b w:val="false"/>
                  <w:color w:val="0000FF"/>
                  <w:sz w:val="18"/>
                  <w:u w:val="single"/>
                </w:rPr>
                <w:t>Item 1A. Risk Factors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24">
              <w:r>
                <w:rPr>
                  <w:rStyle w:val="InternetLink"/>
                  <w:rFonts w:ascii="Times New Roman;sans-serif" w:hAnsi="Times New Roman;sans-serif"/>
                  <w:b w:val="false"/>
                  <w:color w:val="0000FF"/>
                  <w:sz w:val="18"/>
                  <w:u w:val="single"/>
                </w:rPr>
                <w:t>41</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27">
              <w:r>
                <w:rPr>
                  <w:rStyle w:val="InternetLink"/>
                  <w:rFonts w:ascii="Times New Roman;sans-serif" w:hAnsi="Times New Roman;sans-serif"/>
                  <w:b w:val="false"/>
                  <w:color w:val="0000FF"/>
                  <w:sz w:val="18"/>
                  <w:u w:val="single"/>
                </w:rPr>
                <w:t>Item 2. Unregistered Sales of Equity Securities and Use of Proceeds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27">
              <w:r>
                <w:rPr>
                  <w:rStyle w:val="InternetLink"/>
                  <w:rFonts w:ascii="Times New Roman;sans-serif" w:hAnsi="Times New Roman;sans-serif"/>
                  <w:b w:val="false"/>
                  <w:color w:val="0000FF"/>
                  <w:sz w:val="18"/>
                  <w:u w:val="single"/>
                </w:rPr>
                <w:t>41</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30">
              <w:r>
                <w:rPr>
                  <w:rStyle w:val="InternetLink"/>
                  <w:rFonts w:ascii="Times New Roman;sans-serif" w:hAnsi="Times New Roman;sans-serif"/>
                  <w:b w:val="false"/>
                  <w:color w:val="0000FF"/>
                  <w:sz w:val="18"/>
                  <w:u w:val="single"/>
                </w:rPr>
                <w:t>Item 4. Mine Safety Disclosures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30">
              <w:r>
                <w:rPr>
                  <w:rStyle w:val="InternetLink"/>
                  <w:rFonts w:ascii="Times New Roman;sans-serif" w:hAnsi="Times New Roman;sans-serif"/>
                  <w:b w:val="false"/>
                  <w:color w:val="0000FF"/>
                  <w:sz w:val="18"/>
                  <w:u w:val="single"/>
                </w:rPr>
                <w:t>41</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33">
              <w:r>
                <w:rPr>
                  <w:rStyle w:val="InternetLink"/>
                  <w:rFonts w:ascii="Times New Roman;sans-serif" w:hAnsi="Times New Roman;sans-serif"/>
                  <w:b w:val="false"/>
                  <w:color w:val="0000FF"/>
                  <w:sz w:val="18"/>
                  <w:u w:val="single"/>
                </w:rPr>
                <w:t>Item 5. Other Information</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33">
              <w:r>
                <w:rPr>
                  <w:rStyle w:val="InternetLink"/>
                  <w:rFonts w:ascii="Times New Roman;sans-serif" w:hAnsi="Times New Roman;sans-serif"/>
                  <w:b w:val="false"/>
                  <w:color w:val="0000FF"/>
                  <w:sz w:val="18"/>
                  <w:u w:val="single"/>
                </w:rPr>
                <w:t>41</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36">
              <w:r>
                <w:rPr>
                  <w:rStyle w:val="InternetLink"/>
                  <w:rFonts w:ascii="Times New Roman;sans-serif" w:hAnsi="Times New Roman;sans-serif"/>
                  <w:b w:val="false"/>
                  <w:color w:val="0000FF"/>
                  <w:sz w:val="18"/>
                  <w:u w:val="single"/>
                </w:rPr>
                <w:t>Item 6. Exhibits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36">
              <w:r>
                <w:rPr>
                  <w:rStyle w:val="InternetLink"/>
                  <w:rFonts w:ascii="Times New Roman;sans-serif" w:hAnsi="Times New Roman;sans-serif"/>
                  <w:b w:val="false"/>
                  <w:color w:val="0000FF"/>
                  <w:sz w:val="18"/>
                  <w:u w:val="single"/>
                </w:rPr>
                <w:t>42</w:t>
              </w:r>
            </w:hyperlink>
          </w:p>
        </w:tc>
      </w:tr>
      <w:tr>
        <w:trPr/>
        <w:tc>
          <w:tcPr>
            <w:tcW w:w="94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0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5f1eb1bd01d541c3aa0777712077c048_139">
              <w:r>
                <w:rPr>
                  <w:rStyle w:val="InternetLink"/>
                  <w:rFonts w:ascii="Times New Roman;sans-serif" w:hAnsi="Times New Roman;sans-serif"/>
                  <w:b w:val="false"/>
                  <w:color w:val="0000FF"/>
                  <w:sz w:val="18"/>
                  <w:u w:val="single"/>
                </w:rPr>
                <w:t>SIGNATURES</w:t>
              </w:r>
            </w:hyperlink>
          </w:p>
        </w:tc>
        <w:tc>
          <w:tcPr>
            <w:tcW w:w="798"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5f1eb1bd01d541c3aa0777712077c048_139">
              <w:r>
                <w:rPr>
                  <w:rStyle w:val="InternetLink"/>
                  <w:rFonts w:ascii="Times New Roman;sans-serif" w:hAnsi="Times New Roman;sans-serif"/>
                  <w:b w:val="false"/>
                  <w:color w:val="0000FF"/>
                  <w:sz w:val="18"/>
                  <w:u w:val="single"/>
                </w:rPr>
                <w:t>44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amounts)</w:t>
      </w:r>
    </w:p>
    <w:tbl>
      <w:tblPr>
        <w:tblW w:w="7705" w:type="dxa"/>
        <w:jc w:val="left"/>
        <w:tblInd w:w="0" w:type="dxa"/>
        <w:tblCellMar>
          <w:top w:w="28" w:type="dxa"/>
          <w:left w:w="28" w:type="dxa"/>
          <w:bottom w:w="28" w:type="dxa"/>
          <w:right w:w="28" w:type="dxa"/>
        </w:tblCellMar>
      </w:tblPr>
      <w:tblGrid>
        <w:gridCol w:w="1741"/>
        <w:gridCol w:w="1533"/>
        <w:gridCol w:w="1541"/>
        <w:gridCol w:w="196"/>
        <w:gridCol w:w="736"/>
        <w:gridCol w:w="109"/>
        <w:gridCol w:w="109"/>
        <w:gridCol w:w="109"/>
        <w:gridCol w:w="109"/>
        <w:gridCol w:w="196"/>
        <w:gridCol w:w="736"/>
        <w:gridCol w:w="109"/>
        <w:gridCol w:w="109"/>
        <w:gridCol w:w="109"/>
        <w:gridCol w:w="109"/>
        <w:gridCol w:w="154"/>
      </w:tblGrid>
      <w:tr>
        <w:trPr/>
        <w:tc>
          <w:tcPr>
            <w:tcW w:w="1741"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8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330,474 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per share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 (See Note 13):</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Comprehensive income (See Note 14)</w:t>
            </w:r>
          </w:p>
        </w:tc>
        <w:tc>
          <w:tcPr>
            <w:tcW w:w="10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 except per share amounts)</w:t>
      </w:r>
    </w:p>
    <w:tbl>
      <w:tblPr>
        <w:tblW w:w="10205" w:type="dxa"/>
        <w:jc w:val="center"/>
        <w:tblInd w:w="0" w:type="dxa"/>
        <w:tblCellMar>
          <w:top w:w="28" w:type="dxa"/>
          <w:left w:w="28" w:type="dxa"/>
          <w:bottom w:w="28" w:type="dxa"/>
          <w:right w:w="28" w:type="dxa"/>
        </w:tblCellMar>
      </w:tblPr>
      <w:tblGrid>
        <w:gridCol w:w="2818"/>
        <w:gridCol w:w="2196"/>
        <w:gridCol w:w="2204"/>
        <w:gridCol w:w="205"/>
        <w:gridCol w:w="910"/>
        <w:gridCol w:w="113"/>
        <w:gridCol w:w="109"/>
        <w:gridCol w:w="109"/>
        <w:gridCol w:w="109"/>
        <w:gridCol w:w="229"/>
        <w:gridCol w:w="1019"/>
        <w:gridCol w:w="184"/>
      </w:tblGrid>
      <w:tr>
        <w:trPr/>
        <w:tc>
          <w:tcPr>
            <w:tcW w:w="2818"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72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307,367 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456,661 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receivable, net of allowances of $3,544 and $4,304</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253,995 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263,465 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351,275 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324,583 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116,845 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116,789 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315,175 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311,302 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 of use asset - operating leases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146,514 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148,284 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1,108,759 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1,126,609 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1,041,606 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1,038,881 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44,680 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57,190 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3,742,399 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3,889,758 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borrowings under senior credit facility</w:t>
            </w:r>
          </w:p>
        </w:tc>
        <w:tc>
          <w:tcPr>
            <w:tcW w:w="2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lease liability - operating leases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14,624 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trade</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112,785 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102,100 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53,611 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78,771 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93,362 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80,033 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282,293 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320,906 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under senior credit facility</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769,143 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733,149 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borrowings under securitization facility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104,700 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convertible securities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568,069 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567,341 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 - operating leases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156,910 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157,420 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61,693 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63,338 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126,853 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138,501 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2,067,461 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2,085,355 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no par value; 15,000 authorized shares; none outstanding</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240,000 authorized shares; 90,813 and 90,477 issued at March 31, 2023 and December 31, 2022, respectively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1,245,297 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1,276,977 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8,918 shares and 6,823 shares at March 31, 2023 and December 31, 2022, respectively</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(481,678)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(362,862)</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10,265 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903,344 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879,118 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1,674,938 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1,804,403 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3,742,399 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3,889,758 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8394" w:type="dxa"/>
        <w:jc w:val="center"/>
        <w:tblInd w:w="0" w:type="dxa"/>
        <w:tblCellMar>
          <w:top w:w="28" w:type="dxa"/>
          <w:left w:w="28" w:type="dxa"/>
          <w:bottom w:w="28" w:type="dxa"/>
          <w:right w:w="28" w:type="dxa"/>
        </w:tblCellMar>
      </w:tblPr>
      <w:tblGrid>
        <w:gridCol w:w="2151"/>
        <w:gridCol w:w="1890"/>
        <w:gridCol w:w="1899"/>
        <w:gridCol w:w="196"/>
        <w:gridCol w:w="736"/>
        <w:gridCol w:w="109"/>
        <w:gridCol w:w="109"/>
        <w:gridCol w:w="109"/>
        <w:gridCol w:w="109"/>
        <w:gridCol w:w="196"/>
        <w:gridCol w:w="736"/>
        <w:gridCol w:w="154"/>
      </w:tblGrid>
      <w:tr>
        <w:trPr/>
        <w:tc>
          <w:tcPr>
            <w:tcW w:w="2151" w:type="dxa"/>
            <w:tcBorders/>
            <w:shd w:fill="auto" w:val="clear"/>
            <w:vAlign w:val="center"/>
          </w:tcPr>
          <w:p>
            <w:pPr>
              <w:pStyle w:val="TableContents"/>
              <w:spacing w:before="0" w:after="283"/>
              <w:rPr>
                <w:sz w:val="4"/>
                <w:szCs w:val="4"/>
              </w:rPr>
            </w:pPr>
            <w:r>
              <w:rPr>
                <w:sz w:val="4"/>
                <w:szCs w:val="4"/>
              </w:rPr>
            </w:r>
          </w:p>
        </w:tc>
        <w:tc>
          <w:tcPr>
            <w:tcW w:w="1890" w:type="dxa"/>
            <w:tcBorders/>
            <w:shd w:fill="auto" w:val="clear"/>
            <w:vAlign w:val="center"/>
          </w:tcPr>
          <w:p>
            <w:pPr>
              <w:pStyle w:val="TableContents"/>
              <w:spacing w:before="0" w:after="283"/>
              <w:rPr>
                <w:sz w:val="4"/>
                <w:szCs w:val="4"/>
              </w:rPr>
            </w:pPr>
            <w:r>
              <w:rPr>
                <w:sz w:val="4"/>
                <w:szCs w:val="4"/>
              </w:rPr>
            </w:r>
          </w:p>
        </w:tc>
        <w:tc>
          <w:tcPr>
            <w:tcW w:w="18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provision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 and expenses associated with debt refinancing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(gain)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 and others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 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in-process research and development milestone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of long-term indebtedness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treasury stock</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exercised stock options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taxes paid in net equity settlement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beginning of period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at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407,092 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(Dollars in thousands)</w:t>
      </w:r>
    </w:p>
    <w:tbl>
      <w:tblPr>
        <w:tblW w:w="11505" w:type="dxa"/>
        <w:jc w:val="center"/>
        <w:tblInd w:w="0" w:type="dxa"/>
        <w:tblCellMar>
          <w:top w:w="28" w:type="dxa"/>
          <w:left w:w="28" w:type="dxa"/>
          <w:bottom w:w="28" w:type="dxa"/>
          <w:right w:w="28" w:type="dxa"/>
        </w:tblCellMar>
      </w:tblPr>
      <w:tblGrid>
        <w:gridCol w:w="677"/>
        <w:gridCol w:w="268"/>
        <w:gridCol w:w="226"/>
        <w:gridCol w:w="323"/>
        <w:gridCol w:w="323"/>
        <w:gridCol w:w="196"/>
        <w:gridCol w:w="109"/>
        <w:gridCol w:w="109"/>
        <w:gridCol w:w="109"/>
        <w:gridCol w:w="196"/>
        <w:gridCol w:w="421"/>
        <w:gridCol w:w="109"/>
        <w:gridCol w:w="109"/>
        <w:gridCol w:w="109"/>
        <w:gridCol w:w="109"/>
        <w:gridCol w:w="285"/>
        <w:gridCol w:w="286"/>
        <w:gridCol w:w="196"/>
        <w:gridCol w:w="109"/>
        <w:gridCol w:w="109"/>
        <w:gridCol w:w="109"/>
        <w:gridCol w:w="196"/>
        <w:gridCol w:w="751"/>
        <w:gridCol w:w="109"/>
        <w:gridCol w:w="109"/>
        <w:gridCol w:w="109"/>
        <w:gridCol w:w="109"/>
        <w:gridCol w:w="196"/>
        <w:gridCol w:w="871"/>
        <w:gridCol w:w="109"/>
        <w:gridCol w:w="109"/>
        <w:gridCol w:w="109"/>
        <w:gridCol w:w="109"/>
        <w:gridCol w:w="250"/>
        <w:gridCol w:w="826"/>
        <w:gridCol w:w="140"/>
        <w:gridCol w:w="109"/>
        <w:gridCol w:w="109"/>
        <w:gridCol w:w="109"/>
        <w:gridCol w:w="196"/>
        <w:gridCol w:w="736"/>
        <w:gridCol w:w="109"/>
        <w:gridCol w:w="109"/>
        <w:gridCol w:w="109"/>
        <w:gridCol w:w="109"/>
        <w:gridCol w:w="196"/>
        <w:gridCol w:w="871"/>
        <w:gridCol w:w="154"/>
      </w:tblGrid>
      <w:tr>
        <w:trPr/>
        <w:tc>
          <w:tcPr>
            <w:tcW w:w="67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17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1,276,977 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10,265 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1,804,403 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vesting of share based awards,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shares repurchased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90,813 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(481,678)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1,245,297 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7,067 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903,344 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1,674,938 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tbl>
      <w:tblPr>
        <w:tblW w:w="11505" w:type="dxa"/>
        <w:jc w:val="center"/>
        <w:tblInd w:w="0" w:type="dxa"/>
        <w:tblCellMar>
          <w:top w:w="28" w:type="dxa"/>
          <w:left w:w="28" w:type="dxa"/>
          <w:bottom w:w="28" w:type="dxa"/>
          <w:right w:w="28" w:type="dxa"/>
        </w:tblCellMar>
      </w:tblPr>
      <w:tblGrid>
        <w:gridCol w:w="677"/>
        <w:gridCol w:w="268"/>
        <w:gridCol w:w="226"/>
        <w:gridCol w:w="323"/>
        <w:gridCol w:w="323"/>
        <w:gridCol w:w="196"/>
        <w:gridCol w:w="109"/>
        <w:gridCol w:w="109"/>
        <w:gridCol w:w="109"/>
        <w:gridCol w:w="196"/>
        <w:gridCol w:w="421"/>
        <w:gridCol w:w="109"/>
        <w:gridCol w:w="109"/>
        <w:gridCol w:w="109"/>
        <w:gridCol w:w="109"/>
        <w:gridCol w:w="285"/>
        <w:gridCol w:w="286"/>
        <w:gridCol w:w="196"/>
        <w:gridCol w:w="109"/>
        <w:gridCol w:w="109"/>
        <w:gridCol w:w="109"/>
        <w:gridCol w:w="196"/>
        <w:gridCol w:w="751"/>
        <w:gridCol w:w="109"/>
        <w:gridCol w:w="109"/>
        <w:gridCol w:w="109"/>
        <w:gridCol w:w="109"/>
        <w:gridCol w:w="196"/>
        <w:gridCol w:w="871"/>
        <w:gridCol w:w="109"/>
        <w:gridCol w:w="109"/>
        <w:gridCol w:w="109"/>
        <w:gridCol w:w="109"/>
        <w:gridCol w:w="246"/>
        <w:gridCol w:w="832"/>
        <w:gridCol w:w="138"/>
        <w:gridCol w:w="109"/>
        <w:gridCol w:w="109"/>
        <w:gridCol w:w="109"/>
        <w:gridCol w:w="196"/>
        <w:gridCol w:w="736"/>
        <w:gridCol w:w="109"/>
        <w:gridCol w:w="109"/>
        <w:gridCol w:w="109"/>
        <w:gridCol w:w="109"/>
        <w:gridCol w:w="196"/>
        <w:gridCol w:w="871"/>
        <w:gridCol w:w="154"/>
      </w:tblGrid>
      <w:tr>
        <w:trPr/>
        <w:tc>
          <w:tcPr>
            <w:tcW w:w="677"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4" w:type="dxa"/>
            <w:gridSpan w:val="4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171"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vMerge w:val="restart"/>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7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17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1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vMerge w:val="continue"/>
            <w:tcBorders>
              <w:top w:val="single" w:sz="8" w:space="0" w:color="000000"/>
            </w:tcBorders>
            <w:shd w:fill="auto" w:val="clear"/>
            <w:tcMar>
              <w:left w:w="0" w:type="dxa"/>
              <w:bottom w:w="0" w:type="dxa"/>
              <w:right w:w="0" w:type="dxa"/>
            </w:tcMar>
            <w:vAlign w:val="center"/>
          </w:tcPr>
          <w:p>
            <w:pPr>
              <w:pStyle w:val="Normal"/>
              <w:rPr/>
            </w:pPr>
            <w:r>
              <w:rPr/>
            </w:r>
          </w:p>
        </w:tc>
        <w:tc>
          <w:tcPr>
            <w:tcW w:w="122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January 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698,568 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1,684,804 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employee stock purchase plan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vesting of share based awards,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shares repurchased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(129,152)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March 31,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89,956 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1,266,739 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(21,025)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731,469 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1,615,197 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 (UNAUDITED)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terms “we,” “our,” “us,” “Company” and “Integra” refer to Integra LifeSciences Holdings Corporation, a Delaware corporation, and its subsidiaries unless the context suggests otherwise.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March 31, 2023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2022 included in the Company’s Annual Report on Form 10-K. The December 31, 2022 consolidated balance sheet was derived from audited financial statements, but does not include all disclosures required by GAAP. Operating results for the three-month period ended March 31, 2023 are not necessarily indicative of the results to be expected for the entire year.</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spacing w:before="120" w:after="120"/>
        <w:jc w:val="both"/>
        <w:rPr/>
      </w:pPr>
      <w:r>
        <w:rPr/>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68" w:before="0" w:after="0"/>
        <w:rPr/>
      </w:pPr>
      <w:r>
        <w:rPr>
          <w:rFonts w:ascii="Times New Roman;sans-serif" w:hAnsi="Times New Roman;sans-serif"/>
          <w:b w:val="false"/>
          <w:color w:val="000000"/>
          <w:sz w:val="20"/>
        </w:rPr>
        <w:t>In March 2020, the FASB issued ASU 2020-04, </w:t>
      </w:r>
      <w:r>
        <w:rPr>
          <w:rFonts w:ascii="Times New Roman;sans-serif" w:hAnsi="Times New Roman;sans-serif"/>
          <w:b w:val="false"/>
          <w:i/>
          <w:color w:val="000000"/>
          <w:sz w:val="20"/>
        </w:rPr>
        <w:t xml:space="preserve">Reference Rate Reform </w:t>
      </w:r>
      <w:r>
        <w:rPr>
          <w:rFonts w:ascii="Times New Roman;sans-serif" w:hAnsi="Times New Roman;sans-serif"/>
          <w:b w:val="false"/>
          <w:color w:val="000000"/>
          <w:sz w:val="20"/>
        </w:rPr>
        <w:t xml:space="preserve">(Topic 848), and subsequent amendment to the initial guidance: ASU 2021-01, </w:t>
      </w:r>
      <w:r>
        <w:rPr>
          <w:rFonts w:ascii="Times New Roman;sans-serif" w:hAnsi="Times New Roman;sans-serif"/>
          <w:b w:val="false"/>
          <w:i/>
          <w:color w:val="000000"/>
          <w:sz w:val="20"/>
        </w:rPr>
        <w:t>Reference Rate Reform</w:t>
      </w:r>
      <w:r>
        <w:rPr>
          <w:color w:val="000000"/>
        </w:rPr>
        <w:t xml:space="preserve"> </w:t>
      </w:r>
      <w:r>
        <w:rPr>
          <w:rFonts w:ascii="Times New Roman;sans-serif" w:hAnsi="Times New Roman;sans-serif"/>
          <w:b w:val="false"/>
          <w:color w:val="000000"/>
          <w:sz w:val="20"/>
        </w:rPr>
        <w:t xml:space="preserve">(Topic 848): Scope (collectively,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The guidance generally can be applied through December 31, 2024. The Alternative Reference Rates Committee, a group of private-market participants convened by the U.S. Federal Reserve Board and the New York Federal Reserve, has recommended the use of the Secured Overnight Financing Rate ("SOFR") as a more robust reference rate alternative to LIBOR. The use of SOFR as a substitute for LIBOR is, however, voluntary and may not be suitable for all market participants. There can be no assurance that the replacement rate will be economically equivalent to LIBOR, which could result in higher interest rates for us under our debt facilities. There is no guarantee that a transition from LIBOR to SOFR will not result in financial market disruptions, significant increases in benchmark rates, or our borrowing costs, any of which could have an adverse effect on our business, results of operations and financial condition. On March 24, 2023, the Company entered into the seventh amendment and restatement (the "March 2023 Amendment") of its Senior Credit Facility (the “Senior Credit Facility”) with a syndicate of lending banks with Bank of America, N.A., as Administrative Agent. In connection with the March 2023 Amendment the Company replaced all LIBOR-based contracts with SOFR, which is calculated based on overnight transactions under repurchase agreements backed by Treasury securities (See Note 6). In March 2023, the Company entered into a basis swap where the Company receives Term SOFR and pays LIBOR to convert the portfolio of interest rate swaps from LIBOR to SOFR. Integra has elected to adopt the optional expedient under ASC 848, which will allow the interest rate swap hedging relationship to continue, without de-designation, due to the change in the indexed rate from LIBOR to SOFR.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recently issued accounting pronouncements that are expected to have any significant effect on the Company's financial position, results of operations or cash flows.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2. ACQUISITIONS AND DIVESTITURES</w:t>
      </w:r>
    </w:p>
    <w:p>
      <w:pPr>
        <w:pStyle w:val="TextBody"/>
        <w:spacing w:lineRule="auto" w:line="256" w:before="120" w:after="120"/>
        <w:rPr>
          <w:rFonts w:ascii="Times New Roman;sans-serif" w:hAnsi="Times New Roman;sans-serif"/>
          <w:b/>
          <w:i/>
          <w:color w:val="000000"/>
          <w:sz w:val="20"/>
        </w:rPr>
      </w:pPr>
      <w:r>
        <w:rPr>
          <w:rFonts w:ascii="Times New Roman;sans-serif" w:hAnsi="Times New Roman;sans-serif"/>
          <w:b/>
          <w:i/>
          <w:color w:val="000000"/>
          <w:sz w:val="20"/>
        </w:rPr>
        <w:t>Surgical Innovation Associates, Inc. Acquisition</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6, 2022, the Company completed its acquisition of Surgical Innovation Associates, Inc. ("SIA") for an acquisition purchase price of $51.5 million (the "SIA Acquisition"). In addition to the purchase price, the acquisition includes two separate contingent considerations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SIA's core technology, DuraSorb, is a fully resorbable scaffold of a globally accepted polymer, which is cleared for use in hernia repair, abdominal wall, and other soft tissue reinforcement. DuraSorb sales will be reported within Integra’s Tissue Technologies ("TT") segment as part of its Wound Reconstruction and Care franchise. </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Acquired and Liabilities Assumed at Fair Value</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SIA Acquisition has been accounted for using the acquisition method of accounting. This method requires that assets acquired, and liabilities assumed in a business combination to be recognized at their fair values as of the acquisition date.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values of the assets acquired and liabilities assumed at the acquisition date:</w:t>
      </w:r>
    </w:p>
    <w:p>
      <w:pPr>
        <w:pStyle w:val="TextBody"/>
        <w:spacing w:before="0" w:after="0"/>
        <w:rPr/>
      </w:pPr>
      <w:r>
        <w:rPr/>
      </w:r>
    </w:p>
    <w:tbl>
      <w:tblPr>
        <w:tblW w:w="7282" w:type="dxa"/>
        <w:jc w:val="left"/>
        <w:tblInd w:w="0" w:type="dxa"/>
        <w:tblCellMar>
          <w:top w:w="28" w:type="dxa"/>
          <w:left w:w="28" w:type="dxa"/>
          <w:bottom w:w="28" w:type="dxa"/>
          <w:right w:w="28" w:type="dxa"/>
        </w:tblCellMar>
      </w:tblPr>
      <w:tblGrid>
        <w:gridCol w:w="1110"/>
        <w:gridCol w:w="974"/>
        <w:gridCol w:w="976"/>
        <w:gridCol w:w="342"/>
        <w:gridCol w:w="1220"/>
        <w:gridCol w:w="177"/>
        <w:gridCol w:w="109"/>
        <w:gridCol w:w="109"/>
        <w:gridCol w:w="109"/>
        <w:gridCol w:w="594"/>
        <w:gridCol w:w="594"/>
        <w:gridCol w:w="596"/>
        <w:gridCol w:w="109"/>
        <w:gridCol w:w="109"/>
        <w:gridCol w:w="154"/>
      </w:tblGrid>
      <w:tr>
        <w:trPr/>
        <w:tc>
          <w:tcPr>
            <w:tcW w:w="111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Preliminary Valuation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Life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Trade accounts receivable, net </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 acquired</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127,397</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3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Liability</w:t>
            </w:r>
          </w:p>
        </w:tc>
        <w:tc>
          <w:tcPr>
            <w:tcW w:w="15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11,799 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5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assumed</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71,450</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55,947</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Developed Technology</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developed technology was determined using the multi-period excess earnings method of the income approach, which estimates value based on the present value of future economic benefits. Some of the more significant assumptions inherent in the development of those asset valuations include the estimated net cash flows for each year for each product including net revenues, cost of sales, R&amp;D costs, selling and marketing costs, working capital, and contributory asset charges, the appropriate discount rate to select in order to measure the risk inherent in each future cash flow stream, the assessment of the asset’s life cycle, and competitive trends impacting the asset and the cash flow stream.</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used a discount rate of 18%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allocated goodwill related to the SIA Acquisition to the TT segment. Goodwill is the excess of the consideration transferred over the net assets recognized and represents the expected revenue and cost synergies of the combined company and assembled workforce. A key factor that contributes to the recognition of goodwill, and a driver for the Company’s acquisition of SIA, is the attractive growth opportunities presented by the surgical matrix business in the breast reconstruction market. Goodwill recognized as a result of this acquisition is non-deductible for income tax purposes.</w:t>
      </w:r>
    </w:p>
    <w:p>
      <w:pPr>
        <w:pStyle w:val="TextBody"/>
        <w:spacing w:before="0" w:after="0"/>
        <w:rPr/>
      </w:pPr>
      <w:r>
        <w:rPr/>
      </w:r>
    </w:p>
    <w:p>
      <w:pPr>
        <w:pStyle w:val="TextBody"/>
        <w:spacing w:lineRule="auto" w:line="256"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Contingent Consideration</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acquisition date fair value of contingent consideration obligations based on a probability-weighted income approach derived from revenue estimates and a probability assessment with respect to the likelihood of achieving contingent obligations. The fair value measurement is based on significant inputs not observable in the market and thus represents a Level 3 measurement as defined using the fair value concepts in ASC 820. The resulting most likely payouts are discounted using an appropriate effective annual interest rate. At each reporting date, the contingent consideration obligation will be revalued to estimated fair value and changes in fair value will be reflected as income or expense in the consolidated statement of operations. Changes in the fair value of the contingent considerations may result from changes in discount periods and rates and changes in the timing and amount of revenue estimates. Changes in assumptions utilized in the contingent consideration fair value estimates could result in an increase in the contingent consideration obligation and a corresponding charge to operating results.</w:t>
      </w:r>
    </w:p>
    <w:p>
      <w:pPr>
        <w:pStyle w:val="TextBody"/>
        <w:spacing w:before="0" w:after="0"/>
        <w:jc w:val="both"/>
        <w:rPr/>
      </w:pPr>
      <w:r>
        <w:rPr/>
      </w:r>
    </w:p>
    <w:p>
      <w:pPr>
        <w:pStyle w:val="TextBody"/>
        <w:spacing w:lineRule="auto" w:line="256" w:before="0" w:after="0"/>
        <w:jc w:val="both"/>
        <w:rPr/>
      </w:pPr>
      <w:r>
        <w:rPr>
          <w:rFonts w:ascii="Times New Roman;sans-serif" w:hAnsi="Times New Roman;sans-serif"/>
          <w:b w:val="false"/>
          <w:color w:val="000000"/>
          <w:sz w:val="20"/>
        </w:rPr>
        <w:t xml:space="preserve">As part of the SIA Acquisition, the Company is required to pay to the shareholder of SIA up to $90.0 million for two separate payments, which are dependent on 1) achieving certain revenue-based performance milestones in 2023, 2024, and 2025 (up to $50.0 million in additional payments), as well as 2) the approval by the FDA of the PMA for DuraSorb for certain uses by certain timing targets (up to $40.0 million in additional payments).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Company estimated the fair value of the contingent consideration for the revenue based milestone to be $32.6 million at the acquisition date and $25.0 million for the PMA approval milestone as of December 31, 2022. The company recorded a total of $48.7 million in other liabilities as of March 31, 2023 and $12.5 million in accrued expenses and other current liabilities at March 31, 2023 in the consolidated balance sheet of the company. </w:t>
      </w:r>
      <w:r>
        <w:rPr>
          <w:rFonts w:ascii="Times New Roman;sans-serif" w:hAnsi="Times New Roman;sans-serif"/>
          <w:b w:val="false"/>
          <w:color w:val="000000"/>
          <w:sz w:val="20"/>
          <w:highlight w:val="white"/>
        </w:rPr>
        <w:t>The change in the fair value of the contingent obligation was primarily as a result of changes in the timing.</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Deferred Tax Liabilities</w:t>
      </w:r>
    </w:p>
    <w:p>
      <w:pPr>
        <w:pStyle w:val="TextBody"/>
        <w:spacing w:before="0" w:after="0"/>
        <w:jc w:val="both"/>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result from identifiable intangible assets’ fair value adjustments. These adjustments create excess book basis over tax basis which is tax-effected by the statutory tax rates of applicable jurisdictions.</w:t>
      </w:r>
    </w:p>
    <w:p>
      <w:pPr>
        <w:pStyle w:val="TextBody"/>
        <w:spacing w:before="0" w:after="0"/>
        <w:jc w:val="both"/>
        <w:rPr/>
      </w:pPr>
      <w:r>
        <w:rPr/>
      </w:r>
    </w:p>
    <w:p>
      <w:pPr>
        <w:pStyle w:val="TextBody"/>
        <w:spacing w:lineRule="auto" w:line="256" w:before="120" w:after="120"/>
        <w:jc w:val="both"/>
        <w:rPr>
          <w:rFonts w:ascii="Times New Roman;sans-serif" w:hAnsi="Times New Roman;sans-serif"/>
          <w:b/>
          <w:i/>
          <w:color w:val="000000"/>
          <w:sz w:val="20"/>
        </w:rPr>
      </w:pPr>
      <w:r>
        <w:rPr>
          <w:rFonts w:ascii="Times New Roman;sans-serif" w:hAnsi="Times New Roman;sans-serif"/>
          <w:b/>
          <w:i/>
          <w:color w:val="000000"/>
          <w:sz w:val="20"/>
        </w:rPr>
        <w:t>Sale of non-core traditional wound care business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31, 2022, the Company completed its sale of its non-core traditional wound care ("TWC") business to Gentell, LLC ("Gentell") for $28.8 million, which consists of $27.8 million in cash plus $1.0 million in contingent consideration which may be received upon achieving certain revenue-based performance milestones two years after the closing date. The proceeds from the sale of the TWC business of $27.8 million is presented in the consolidated statement of cash flows net of cash transferred of $3.5 million and other transaction fees. The transaction included the sale of the Company's TWC products, such as sponges, gauze and conforming bandages, and certain advanced wound care dressings, such as supportive, calcium alginate, hydrogel, and foam dressings.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 did not represent a strategic shift that had a major effect on the Company's operations and financial statements. Goodwill was allocated to the assets and liabilities divested using the relative fair value method of the TWC business to the Company's TT reportable business segment. In connection with the sale, the Company recognized $0.6 million as a gain from the sale of the business in the condensed consolidated statement of operations for the year ended December 31, 2022. The transaction is subject to final working capital adjustments.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purchase and sale agreement, the Company also entered into a contract manufacturing agreement with Gentell. Under the terms of the agreement, Gentell received inventory, equipment, and tooling to manufacture certain MediHoney® and TCC-EZ® products on behalf of the Company. On the close date of this transaction, the Company transferred all inventory associated with these products to Gentell and recognized an asset of $11.1 million, as a form of a deposit for the inventory transferred, which based on the expected timing of inventory purchases, was primarily included within prepaid expenses and other current assets in the consolidated balance sheet. This deposit will be utilized by the Company on future orders placed to Gentell for such products. As of March 31, 2023, the Company had a deposit remaining of $7.3 million which is included in prepaid assets and recognized a payable due to Gentell of $0.7 million, which is included in the condensed consolidated balance sheet within accrued expenses and other current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3. REVENUES FROM CONTRACTS WITH CUSTOMERS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Summary of Accounting Policies on Revenue Recognition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Significant Estimates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Contract Asset and Liability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summarized the changes in the contract asset and liability balances for the three months ended March 31, 2023:</w:t>
      </w:r>
    </w:p>
    <w:tbl>
      <w:tblPr>
        <w:tblW w:w="8763" w:type="dxa"/>
        <w:jc w:val="center"/>
        <w:tblInd w:w="0" w:type="dxa"/>
        <w:tblCellMar>
          <w:top w:w="28" w:type="dxa"/>
          <w:left w:w="28" w:type="dxa"/>
          <w:bottom w:w="28" w:type="dxa"/>
          <w:right w:w="28" w:type="dxa"/>
        </w:tblCellMar>
      </w:tblPr>
      <w:tblGrid>
        <w:gridCol w:w="2541"/>
        <w:gridCol w:w="2230"/>
        <w:gridCol w:w="2233"/>
        <w:gridCol w:w="109"/>
        <w:gridCol w:w="109"/>
        <w:gridCol w:w="109"/>
        <w:gridCol w:w="109"/>
        <w:gridCol w:w="196"/>
        <w:gridCol w:w="646"/>
        <w:gridCol w:w="109"/>
        <w:gridCol w:w="109"/>
        <w:gridCol w:w="109"/>
        <w:gridCol w:w="154"/>
      </w:tblGrid>
      <w:tr>
        <w:trPr/>
        <w:tc>
          <w:tcPr>
            <w:tcW w:w="2541"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Contract Asset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January 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Transferred to trade receivable from contract asset included in beginning of the year contract asset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net of transferred to trade receivables on contracts during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Contract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January 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revenue included in beginning of year contract liability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net of revenue recognized on contracts during the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liability,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short-term portion of the contract liability of $7.7 million and the long-term portion of $8.8 million is included in current liabilities and other liabilities, respectively, in the consolidated balance sheets.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is expected to recognize revenue of approximately 47% of unsatisfied (or partially unsatisfied) performance obligations as revenue within 12 months, with the remaining balance to be recognized thereafter.</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Shipping and Handling Fees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Product Warranties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Taxes Collected from Customers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spacing w:lineRule="auto" w:line="288"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revenues disaggregated by the major sources of revenues for the three months ended March 31, 2023 and 2022 (dollar amounts in thousands):</w:t>
      </w:r>
    </w:p>
    <w:tbl>
      <w:tblPr>
        <w:tblW w:w="8861" w:type="dxa"/>
        <w:jc w:val="center"/>
        <w:tblInd w:w="0" w:type="dxa"/>
        <w:tblCellMar>
          <w:top w:w="28" w:type="dxa"/>
          <w:left w:w="28" w:type="dxa"/>
          <w:bottom w:w="28" w:type="dxa"/>
          <w:right w:w="28" w:type="dxa"/>
        </w:tblCellMar>
      </w:tblPr>
      <w:tblGrid>
        <w:gridCol w:w="885"/>
        <w:gridCol w:w="779"/>
        <w:gridCol w:w="781"/>
        <w:gridCol w:w="528"/>
        <w:gridCol w:w="1983"/>
        <w:gridCol w:w="293"/>
        <w:gridCol w:w="109"/>
        <w:gridCol w:w="109"/>
        <w:gridCol w:w="109"/>
        <w:gridCol w:w="528"/>
        <w:gridCol w:w="1983"/>
        <w:gridCol w:w="293"/>
        <w:gridCol w:w="109"/>
        <w:gridCol w:w="109"/>
        <w:gridCol w:w="109"/>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Neurosurgery</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192,870 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194,675 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Instruments</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55,266 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52,633 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Codman Specialty Surgical</w:t>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248,136 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247,308 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Wound Reconstruction and Care</w:t>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100,940 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94,630 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Private Label</w:t>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31,770 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34,700 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Tissue Technologies</w:t>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129,330 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rPr/>
      </w:pPr>
      <w:r>
        <w:rPr>
          <w:rFonts w:ascii="Times New Roman;sans-serif" w:hAnsi="Times New Roman;sans-serif"/>
          <w:b w:val="false"/>
          <w:color w:val="000000"/>
          <w:sz w:val="20"/>
        </w:rPr>
        <w:t xml:space="preserve">See Note 15, </w:t>
      </w:r>
      <w:r>
        <w:rPr>
          <w:rFonts w:ascii="Times New Roman;sans-serif" w:hAnsi="Times New Roman;sans-serif"/>
          <w:b w:val="false"/>
          <w:i/>
          <w:color w:val="000000"/>
          <w:sz w:val="20"/>
        </w:rPr>
        <w:t>Segment and Geographical Information</w:t>
      </w:r>
      <w:r>
        <w:rPr>
          <w:rFonts w:ascii="Times New Roman;sans-serif" w:hAnsi="Times New Roman;sans-serif"/>
          <w:b w:val="false"/>
          <w:color w:val="000000"/>
          <w:sz w:val="20"/>
        </w:rPr>
        <w:t>, for details of revenues based on the location of the customer.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Inventories, net consisted of the following:</w:t>
      </w:r>
    </w:p>
    <w:tbl>
      <w:tblPr>
        <w:tblW w:w="4737" w:type="dxa"/>
        <w:jc w:val="left"/>
        <w:tblInd w:w="0" w:type="dxa"/>
        <w:tblCellMar>
          <w:top w:w="28" w:type="dxa"/>
          <w:left w:w="28" w:type="dxa"/>
          <w:bottom w:w="28" w:type="dxa"/>
          <w:right w:w="28" w:type="dxa"/>
        </w:tblCellMar>
      </w:tblPr>
      <w:tblGrid>
        <w:gridCol w:w="582"/>
        <w:gridCol w:w="511"/>
        <w:gridCol w:w="512"/>
        <w:gridCol w:w="237"/>
        <w:gridCol w:w="891"/>
        <w:gridCol w:w="132"/>
        <w:gridCol w:w="109"/>
        <w:gridCol w:w="109"/>
        <w:gridCol w:w="109"/>
        <w:gridCol w:w="279"/>
        <w:gridCol w:w="1047"/>
        <w:gridCol w:w="219"/>
      </w:tblGrid>
      <w:tr>
        <w:trPr/>
        <w:tc>
          <w:tcPr>
            <w:tcW w:w="582"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1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172,088 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80,532 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70,598 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92,117 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81,897 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351,275 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324,583 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5. GOODWILL AND OTHER INTANGIBLE ASSETS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for the three-month period ended March 31, 2023 were as follows:</w:t>
      </w:r>
    </w:p>
    <w:tbl>
      <w:tblPr>
        <w:tblW w:w="8234" w:type="dxa"/>
        <w:jc w:val="left"/>
        <w:tblInd w:w="0" w:type="dxa"/>
        <w:tblCellMar>
          <w:top w:w="28" w:type="dxa"/>
          <w:left w:w="28" w:type="dxa"/>
          <w:bottom w:w="28" w:type="dxa"/>
          <w:right w:w="28" w:type="dxa"/>
        </w:tblCellMar>
      </w:tblPr>
      <w:tblGrid>
        <w:gridCol w:w="1224"/>
        <w:gridCol w:w="1075"/>
        <w:gridCol w:w="1076"/>
        <w:gridCol w:w="276"/>
        <w:gridCol w:w="1040"/>
        <w:gridCol w:w="154"/>
        <w:gridCol w:w="109"/>
        <w:gridCol w:w="109"/>
        <w:gridCol w:w="109"/>
        <w:gridCol w:w="285"/>
        <w:gridCol w:w="1071"/>
        <w:gridCol w:w="158"/>
        <w:gridCol w:w="109"/>
        <w:gridCol w:w="109"/>
        <w:gridCol w:w="109"/>
        <w:gridCol w:w="196"/>
        <w:gridCol w:w="871"/>
        <w:gridCol w:w="154"/>
      </w:tblGrid>
      <w:tr>
        <w:trPr/>
        <w:tc>
          <w:tcPr>
            <w:tcW w:w="1224"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4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Codman Specialty </w:t>
              <w:br/>
              <w:t>Surgical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Tissue Technologies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at December 31, 2022</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382,662 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SIA Acquisition Working Capital Adjustment</w:t>
            </w:r>
          </w:p>
        </w:tc>
        <w:tc>
          <w:tcPr>
            <w:tcW w:w="13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13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at March 31, 2023</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657,858 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383,748 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Other Intangible Assets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components of the Company’s identifiable intangible assets were as follows:</w:t>
      </w:r>
    </w:p>
    <w:tbl>
      <w:tblPr>
        <w:tblW w:w="7195" w:type="dxa"/>
        <w:jc w:val="left"/>
        <w:tblInd w:w="0" w:type="dxa"/>
        <w:tblCellMar>
          <w:top w:w="28" w:type="dxa"/>
          <w:left w:w="28" w:type="dxa"/>
          <w:bottom w:w="28" w:type="dxa"/>
          <w:right w:w="28" w:type="dxa"/>
        </w:tblCellMar>
      </w:tblPr>
      <w:tblGrid>
        <w:gridCol w:w="692"/>
        <w:gridCol w:w="606"/>
        <w:gridCol w:w="607"/>
        <w:gridCol w:w="265"/>
        <w:gridCol w:w="265"/>
        <w:gridCol w:w="266"/>
        <w:gridCol w:w="109"/>
        <w:gridCol w:w="109"/>
        <w:gridCol w:w="109"/>
        <w:gridCol w:w="196"/>
        <w:gridCol w:w="871"/>
        <w:gridCol w:w="109"/>
        <w:gridCol w:w="109"/>
        <w:gridCol w:w="109"/>
        <w:gridCol w:w="109"/>
        <w:gridCol w:w="196"/>
        <w:gridCol w:w="811"/>
        <w:gridCol w:w="109"/>
        <w:gridCol w:w="109"/>
        <w:gridCol w:w="109"/>
        <w:gridCol w:w="109"/>
        <w:gridCol w:w="196"/>
        <w:gridCol w:w="871"/>
        <w:gridCol w:w="154"/>
      </w:tblGrid>
      <w:tr>
        <w:trPr/>
        <w:tc>
          <w:tcPr>
            <w:tcW w:w="69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Completed technology</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817,451 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(146,098)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Trademarks/brand names</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tradename</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167,529 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1,108,759 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195" w:type="dxa"/>
        <w:jc w:val="center"/>
        <w:tblInd w:w="0" w:type="dxa"/>
        <w:tblCellMar>
          <w:top w:w="28" w:type="dxa"/>
          <w:left w:w="28" w:type="dxa"/>
          <w:bottom w:w="28" w:type="dxa"/>
          <w:right w:w="28" w:type="dxa"/>
        </w:tblCellMar>
      </w:tblPr>
      <w:tblGrid>
        <w:gridCol w:w="692"/>
        <w:gridCol w:w="606"/>
        <w:gridCol w:w="607"/>
        <w:gridCol w:w="265"/>
        <w:gridCol w:w="265"/>
        <w:gridCol w:w="266"/>
        <w:gridCol w:w="109"/>
        <w:gridCol w:w="109"/>
        <w:gridCol w:w="109"/>
        <w:gridCol w:w="196"/>
        <w:gridCol w:w="871"/>
        <w:gridCol w:w="109"/>
        <w:gridCol w:w="109"/>
        <w:gridCol w:w="109"/>
        <w:gridCol w:w="109"/>
        <w:gridCol w:w="196"/>
        <w:gridCol w:w="811"/>
        <w:gridCol w:w="109"/>
        <w:gridCol w:w="109"/>
        <w:gridCol w:w="109"/>
        <w:gridCol w:w="109"/>
        <w:gridCol w:w="196"/>
        <w:gridCol w:w="871"/>
        <w:gridCol w:w="154"/>
      </w:tblGrid>
      <w:tr>
        <w:trPr/>
        <w:tc>
          <w:tcPr>
            <w:tcW w:w="692"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Life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Completed technology</w:t>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(370,968)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Trademarks/brand names</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tradename</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166,693 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relationships</w:t>
            </w:r>
          </w:p>
        </w:tc>
        <w:tc>
          <w:tcPr>
            <w:tcW w:w="7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w:t>
            </w:r>
          </w:p>
        </w:tc>
        <w:tc>
          <w:tcPr>
            <w:tcW w:w="7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(570,923)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quarter-end exchange rates, amortization expense (including amounts reported in cost of goods sold) is expected to be approximately $61.8 million for the remainder of 2023, $81.8 million in 2024, $81.8 million in 2025, $81.6 million in 2026, $79.7 million in 2027, $78.1 million in 2028 and $474.4 million thereafter.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Amendment to the Seventh Amended and Restated Senior Credit Agreement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24, 2023, the Company entered into the March 2023 Amendment of the Senior Credit Facility with a syndicate of lending banks with Bank of America, N.A., as Administrative Agent. The March 2023 Amendment extended the maturity date to March 24, 2028, amended the contractual repayments of Term loan A, and amended the interest rate from LIBOR to SOFR-indexed interest. The Company continues to have the aggregate principal amount of up to approximately $2.1 billion available to it through the following facilities: (i) a $775.0 million term loan facility, and (ii) a $1.3 billion revolving credit facility, which includes a $60 million sublimit for the issuance of standby letters of credit and a $60 million sublimit for swingline loans.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maximum consolidated total leverage ratio in the financial covenants (as defined in the Senior Credit Facility) was modified to the following:</w:t>
      </w:r>
    </w:p>
    <w:tbl>
      <w:tblPr>
        <w:tblW w:w="8711" w:type="dxa"/>
        <w:jc w:val="center"/>
        <w:tblInd w:w="0" w:type="dxa"/>
        <w:tblCellMar>
          <w:top w:w="28" w:type="dxa"/>
          <w:left w:w="28" w:type="dxa"/>
          <w:bottom w:w="28" w:type="dxa"/>
          <w:right w:w="28" w:type="dxa"/>
        </w:tblCellMar>
      </w:tblPr>
      <w:tblGrid>
        <w:gridCol w:w="1778"/>
        <w:gridCol w:w="1558"/>
        <w:gridCol w:w="1569"/>
        <w:gridCol w:w="109"/>
        <w:gridCol w:w="109"/>
        <w:gridCol w:w="109"/>
        <w:gridCol w:w="1019"/>
        <w:gridCol w:w="1019"/>
        <w:gridCol w:w="1441"/>
      </w:tblGrid>
      <w:tr>
        <w:trPr/>
        <w:tc>
          <w:tcPr>
            <w:tcW w:w="1778"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4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Fiscal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Consolidated Total Leverage Ratio</w:t>
            </w:r>
          </w:p>
        </w:tc>
      </w:tr>
      <w:tr>
        <w:trPr/>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2023 through December 31,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4.50 to 1.00</w:t>
            </w:r>
          </w:p>
        </w:tc>
      </w:tr>
      <w:tr>
        <w:trPr/>
        <w:tc>
          <w:tcPr>
            <w:tcW w:w="4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31, 2025 through June 30,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4.25 to 1.00</w:t>
            </w:r>
          </w:p>
        </w:tc>
      </w:tr>
      <w:tr>
        <w:trPr/>
        <w:tc>
          <w:tcPr>
            <w:tcW w:w="4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September 30, 2026 and the last day of each fiscal quarter 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4.00 to 1.00</w:t>
            </w:r>
          </w:p>
        </w:tc>
      </w:tr>
      <w:tr>
        <w:trPr/>
        <w:tc>
          <w:tcPr>
            <w:tcW w:w="4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under the Senior Credit Facility bear interest, at the Company’s option, at a rate equal to the following:</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i.term SOFR in effect from time to time plus 0.10% plus the applicable rate (ranging from 1.00% to 1.75%), or </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highest of: </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weighted average overnight Federal funds rate, as published by the Federal Reserve Bank of New York, plus 0.50%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prime lending rate of Bank of America, N.A. or</w:t>
      </w:r>
    </w:p>
    <w:p>
      <w:pPr>
        <w:pStyle w:val="TextBody"/>
        <w:spacing w:lineRule="auto" w:line="288" w:before="12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3.the one-month Term SOFR plus 1.00%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applicable rates are based on the Company’s consolidated total leverage ratio (defined as the ratio of (a) consolidated funded indebtedness as of such date less cash that is not subject to any restriction on the use or investment thereof to (b) consolidated EBITDA (as defined by the amended Seventh Amended and Restated Credit Agreement (the "Credit Agreement")), for the period of four consecutive fiscal quarters ending on such date).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an annual commitment fee (ranging from 0.15% to 0.30%), based on the Company's consolidated total leverage ratio, on the amount available for borrowing under the revolving credit facility.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Credit Facility is collateralized by substantially all of the assets of the Company’s U.S. subsidiaries, excluding intangible assets. The Senior Credit Facility is subject to various financial and negative covenants and at March 31, 2023, the Company was in compliance with all such covenants. The Company capitalized $7.6 million in deferred financing costs in connection with the modification of the Senior Credit Facility and wrote off $0.2 million of previously capitalized financing costs during the first quarter of 2023.</w:t>
      </w:r>
    </w:p>
    <w:p>
      <w:pPr>
        <w:pStyle w:val="TextBody"/>
        <w:spacing w:lineRule="auto" w:line="288" w:before="120" w:after="120"/>
        <w:jc w:val="both"/>
        <w:rPr/>
      </w:pPr>
      <w:r>
        <w:rPr>
          <w:rFonts w:ascii="Times New Roman;sans-serif" w:hAnsi="Times New Roman;sans-serif"/>
          <w:b w:val="false"/>
          <w:color w:val="000000"/>
          <w:sz w:val="20"/>
        </w:rPr>
        <w:t>At March 31, 2023 and December 31, 2022 there wa</w:t>
      </w:r>
      <w:r>
        <w:rPr>
          <w:rFonts w:ascii="Times New Roman;sans-serif" w:hAnsi="Times New Roman;sans-serif"/>
          <w:b w:val="false"/>
          <w:color w:val="000000"/>
          <w:sz w:val="20"/>
          <w:highlight w:val="white"/>
        </w:rPr>
        <w:t>s no balance ou</w:t>
      </w:r>
      <w:r>
        <w:rPr>
          <w:rFonts w:ascii="Times New Roman;sans-serif" w:hAnsi="Times New Roman;sans-serif"/>
          <w:b w:val="false"/>
          <w:color w:val="000000"/>
          <w:sz w:val="20"/>
        </w:rPr>
        <w:t>tstanding under the revolving portion of the Senior Credit Facility. At March 31, 2023 and December 31, 2022, there was $775.0 million outstanding under the term loan component of the Senior Credit Facility at a weighted average interest rate of 6.3% and 5.6%, respectively. As of March 31, 2023 there was no portion of the Term Loan component of the Senior Credit Facility classified as current on the condensed consolidated balance sheet. As of December 31, 2022, there was $38.1 million of the Term Loan component of the Senior Credit Facility classified as current on the consolidated balance sheets under the prior terms of the agreement.</w:t>
      </w:r>
    </w:p>
    <w:p>
      <w:pPr>
        <w:pStyle w:val="TextBody"/>
        <w:spacing w:lineRule="auto" w:line="288" w:before="120" w:after="120"/>
        <w:jc w:val="both"/>
        <w:rPr/>
      </w:pPr>
      <w:r>
        <w:rPr>
          <w:rFonts w:ascii="Times New Roman;sans-serif" w:hAnsi="Times New Roman;sans-serif"/>
          <w:b w:val="false"/>
          <w:color w:val="000000"/>
          <w:sz w:val="20"/>
        </w:rPr>
        <w:t>The fair value of outstanding borrowings of the Senior Credit Facility's Term Loan component at March 31, 2023</w:t>
      </w:r>
      <w:r>
        <w:rPr>
          <w:color w:val="000000"/>
          <w:highlight w:val="white"/>
        </w:rPr>
        <w:t xml:space="preserve"> </w:t>
      </w:r>
      <w:r>
        <w:rPr>
          <w:rFonts w:ascii="Times New Roman;sans-serif" w:hAnsi="Times New Roman;sans-serif"/>
          <w:b w:val="false"/>
          <w:color w:val="000000"/>
          <w:sz w:val="20"/>
          <w:highlight w:val="white"/>
        </w:rPr>
        <w:t>was</w:t>
      </w:r>
      <w:r>
        <w:rPr>
          <w:color w:val="000000"/>
        </w:rPr>
        <w:t xml:space="preserve"> </w:t>
      </w:r>
      <w:r>
        <w:rPr>
          <w:rFonts w:ascii="Times New Roman;sans-serif" w:hAnsi="Times New Roman;sans-serif"/>
          <w:b w:val="false"/>
          <w:color w:val="000000"/>
          <w:sz w:val="20"/>
        </w:rPr>
        <w:t>$750.9 million. This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ans-serif" w:hAnsi="Times New Roman;sans-serif"/>
          <w:b w:val="false"/>
          <w:color w:val="000000"/>
          <w:sz w:val="20"/>
          <w:highlight w:val="white"/>
        </w:rPr>
        <w:t>nputs that reflect unadjusted quoted prices for identical assets or liabilities.</w:t>
      </w:r>
    </w:p>
    <w:p>
      <w:pPr>
        <w:pStyle w:val="TextBody"/>
        <w:spacing w:lineRule="auto" w:line="288" w:before="120" w:after="120"/>
        <w:rPr/>
      </w:pPr>
      <w:r>
        <w:rPr>
          <w:rFonts w:ascii="Times New Roman;sans-serif" w:hAnsi="Times New Roman;sans-serif"/>
          <w:b w:val="false"/>
          <w:color w:val="000000"/>
          <w:sz w:val="20"/>
          <w:highlight w:val="white"/>
        </w:rPr>
        <w:t>Letters of credit outstanding as of March 31, 2023 and December 31, 2022 to</w:t>
      </w:r>
      <w:r>
        <w:rPr>
          <w:rFonts w:ascii="Times New Roman;sans-serif" w:hAnsi="Times New Roman;sans-serif"/>
          <w:b w:val="false"/>
          <w:color w:val="000000"/>
          <w:sz w:val="20"/>
        </w:rPr>
        <w:t>taled $1.6 million. There were no amounts drawn as of March 31, 2023.</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Contractual repayments of the Term Loan component of the Senior Credit Facility are due as follows:</w:t>
      </w:r>
    </w:p>
    <w:tbl>
      <w:tblPr>
        <w:tblW w:w="4421" w:type="dxa"/>
        <w:jc w:val="center"/>
        <w:tblInd w:w="0" w:type="dxa"/>
        <w:tblCellMar>
          <w:top w:w="28" w:type="dxa"/>
          <w:left w:w="28" w:type="dxa"/>
          <w:bottom w:w="28" w:type="dxa"/>
          <w:right w:w="28" w:type="dxa"/>
        </w:tblCellMar>
      </w:tblPr>
      <w:tblGrid>
        <w:gridCol w:w="873"/>
        <w:gridCol w:w="768"/>
        <w:gridCol w:w="773"/>
        <w:gridCol w:w="109"/>
        <w:gridCol w:w="109"/>
        <w:gridCol w:w="109"/>
        <w:gridCol w:w="303"/>
        <w:gridCol w:w="1139"/>
        <w:gridCol w:w="238"/>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Quarter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Repayment</w:t>
            </w:r>
          </w:p>
        </w:tc>
      </w:tr>
      <w:tr>
        <w:trPr/>
        <w:tc>
          <w:tcPr>
            <w:tcW w:w="24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14,531 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33,906 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687,813 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775,000 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interest payments on the term loan component of the Senior Credit Facility based on current interest rates are expected to approximate $35.9 million for remainder of 2023, $38.1 million in 2024, $32.6 million in 2025, $30.0 million in 2026, and $34.5 million thereafter . Interest is calculated on the term loan portion of the Senior Credit Facility based on SOFR plus the certain amounts set forth in the Credit Agreement. As the revolving credit facility and Securitization Facility can be repaid at any time, no interest has been included in the calculation.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Any outstanding borrowings on the revolving credit component of the Senior Credit Facility is due on March 24, 2028.</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4, 2020, the Company issued $575.0 million aggregate principal amount of its 0.5% Convertible Senior Notes due 2025 (the "2025 Notes"). The 2025 Notes will mature on August 15, 2025 and bear interest at a rate of 0.5% per annum payable semi-annually in arrears, unless earlier converted, repurchased or redeemed in accordance with the terms of the 2025 Notes. In connection with this offering, the Company capitalized $13.2 million of financing fees.</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are senior, unsecured obligations of the Company, and are convertible into cash and shares of its common stock based on initial conversion rate, subject to adjustment of 13.5739 shares per $1,000 principal amounts of the 2025 Notes (which represents an initial conversion price of $73.67 per share). The 2025 Notes convert only in the following circumstances: (1) if the closing price of the Company's common stock has been at least 130% of the conversion price during the period; (2) if the average trading price per $1,000 principal amount of the 2025 Notes is less than or equal to 98% of the average conversion value of the 2025 Notes during a period as defined in the indenture; (3) at any time on or after February 20, 2023; or (4) if specified corporate transactions occur. As of March 31, 2023, none of these conditions existed with respect to the 2025 Notes and as a result the 2025 Notes are classified as long term.</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9, 2020, the Company entered into the First Supplemental Indenture to the original agreement dated as of February 4, 2020 between the Company and Citibank, N.A., as trustee, governing the Company’s outstanding 2025 Notes. The Company irrevocably elected (1) to eliminate the Company’s option to choose physical settlement on any conversion of the 2025 Notes that occurs on or after the date of the First Supplemental Indenture and (2) with respect to any Combination Settlement for a conversion of the 2025 Notes, the Specified Dollar Amount that will be settled in cash per $1,000 principal amount of the 2025 Notes shall be no lower than $1,000.</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Notes will have the right to require the Company to repurchase for cash all or a portion of their Notes at 100% of their principal amount, plus any accrued and unpaid interest, upon the occurrence of a fundamental change (as defined in the indenture relating to the Notes). The Company will also be required to increase the conversion rate for holders who convert their Notes in connection with certain fundamental changes occurring prior to the maturity date or following delivery by the Company of a notice of redemption.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w:t>
      </w:r>
    </w:p>
    <w:p>
      <w:pPr>
        <w:pStyle w:val="TextBody"/>
        <w:spacing w:lineRule="auto" w:line="288" w:before="120" w:after="120"/>
        <w:jc w:val="both"/>
        <w:rPr/>
      </w:pPr>
      <w:r>
        <w:rPr>
          <w:rFonts w:ascii="Times New Roman;sans-serif" w:hAnsi="Times New Roman;sans-serif"/>
          <w:b w:val="false"/>
          <w:color w:val="000000"/>
          <w:sz w:val="20"/>
          <w:highlight w:val="white"/>
        </w:rPr>
        <w:t xml:space="preserve">At </w:t>
      </w:r>
      <w:r>
        <w:rPr>
          <w:rFonts w:ascii="Times New Roman;sans-serif" w:hAnsi="Times New Roman;sans-serif"/>
          <w:b w:val="false"/>
          <w:color w:val="000000"/>
          <w:sz w:val="20"/>
        </w:rPr>
        <w:t>March 31, 2023</w:t>
      </w:r>
      <w:r>
        <w:rPr>
          <w:rFonts w:ascii="Times New Roman;sans-serif" w:hAnsi="Times New Roman;sans-serif"/>
          <w:b w:val="false"/>
          <w:color w:val="000000"/>
          <w:sz w:val="20"/>
          <w:highlight w:val="white"/>
        </w:rPr>
        <w:t>, the carrying amount of the liability w</w:t>
      </w:r>
      <w:r>
        <w:rPr>
          <w:rFonts w:ascii="Times New Roman;sans-serif" w:hAnsi="Times New Roman;sans-serif"/>
          <w:b w:val="false"/>
          <w:color w:val="000000"/>
          <w:sz w:val="20"/>
        </w:rPr>
        <w:t xml:space="preserve">as $575.0 </w:t>
      </w:r>
      <w:r>
        <w:rPr>
          <w:rFonts w:ascii="Times New Roman;sans-serif" w:hAnsi="Times New Roman;sans-serif"/>
          <w:b w:val="false"/>
          <w:color w:val="000000"/>
          <w:sz w:val="20"/>
          <w:highlight w:val="white"/>
        </w:rPr>
        <w:t xml:space="preserve">million. The fair value of the 2025 Notes at March 31, 2023 was </w:t>
      </w:r>
      <w:r>
        <w:rPr>
          <w:rFonts w:ascii="Times New Roman;sans-serif" w:hAnsi="Times New Roman;sans-serif"/>
          <w:b w:val="false"/>
          <w:color w:val="000000"/>
          <w:sz w:val="20"/>
        </w:rPr>
        <w:t>$561.7</w:t>
      </w:r>
      <w:r>
        <w:rPr>
          <w:color w:val="000000"/>
          <w:highlight w:val="white"/>
        </w:rPr>
        <w:t xml:space="preserve"> </w:t>
      </w:r>
      <w:r>
        <w:rPr>
          <w:rFonts w:ascii="Times New Roman;sans-serif" w:hAnsi="Times New Roman;sans-serif"/>
          <w:b w:val="false"/>
          <w:color w:val="000000"/>
          <w:sz w:val="20"/>
          <w:highlight w:val="white"/>
        </w:rPr>
        <w:t xml:space="preserve">million. </w:t>
      </w:r>
      <w:r>
        <w:rPr>
          <w:rFonts w:ascii="Times New Roman;sans-serif" w:hAnsi="Times New Roman;sans-serif"/>
          <w:b w:val="false"/>
          <w:color w:val="000000"/>
          <w:sz w:val="20"/>
        </w:rPr>
        <w:t>Factors that the Company considered when estimating the fair value of the 2025 Notes included recent quoted market prices or dealer quote. The level of the 2025 Notes is considered as Level 1.</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Securitization Facility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March 31, 2023, the Company was in compliance with the covenants and none of the termination events had occurred.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28, 2021, the Company entered into an amendment (the "May 2021 Amendment") of the Securitization Facility which extended the maturity date from December 21, 2021 to May 28, 2024. The May 2021 Amendment does not increase the Company’s total indebtedness. </w:t>
      </w:r>
    </w:p>
    <w:p>
      <w:pPr>
        <w:pStyle w:val="TextBody"/>
        <w:spacing w:lineRule="auto" w:line="288" w:before="120" w:after="120"/>
        <w:jc w:val="both"/>
        <w:rPr/>
      </w:pPr>
      <w:r>
        <w:rPr>
          <w:rFonts w:ascii="Times New Roman;sans-serif" w:hAnsi="Times New Roman;sans-serif"/>
          <w:b w:val="false"/>
          <w:color w:val="000000"/>
          <w:sz w:val="20"/>
        </w:rPr>
        <w:t>The Securitization Facility is currently indexed to LIBOR. At March 31, 2023 and December 31, 2022, the Company had $102.5 million and $104.7 million, respectively, of outstanding borrowings under its Securitization Facility at a weighted average interest rate of 5.8% and 5.0%, respectively. In April 2023, we amended the facility to replace LIBOR with SOFR-indexed interest. The fair value of the outstanding borrowing of the Securitization Facility at March 31, 2023 was $102.2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ans-serif" w:hAnsi="Times New Roman;sans-serif"/>
          <w:b w:val="false"/>
          <w:color w:val="000000"/>
          <w:sz w:val="20"/>
          <w:highlight w:val="white"/>
        </w:rPr>
        <w:t>nputs that reflect unadjusted quoted prices for identical assets or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 xml:space="preserve">7. DERIVATIVE INSTRUMENTS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Rate Hedging</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In connection with the March 2023 Amendment to the Senior Credit Facility, the Company amended its interest rate from LIBOR to SOFR-indexed interest. In March 2023, the Company entered into a basis swap where the Company receives Term SOFR and pays LIBOR to convert the portfolio of swaps from LIBOR to SOFR.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interest rate swaps as of March 31, 2023 and December 31, 2022 (dollar amounts in thousands):</w:t>
      </w:r>
    </w:p>
    <w:tbl>
      <w:tblPr>
        <w:tblW w:w="11482" w:type="dxa"/>
        <w:jc w:val="center"/>
        <w:tblInd w:w="0" w:type="dxa"/>
        <w:tblCellMar>
          <w:top w:w="28" w:type="dxa"/>
          <w:left w:w="28" w:type="dxa"/>
          <w:bottom w:w="28" w:type="dxa"/>
          <w:right w:w="28" w:type="dxa"/>
        </w:tblCellMar>
      </w:tblPr>
      <w:tblGrid>
        <w:gridCol w:w="245"/>
        <w:gridCol w:w="215"/>
        <w:gridCol w:w="216"/>
        <w:gridCol w:w="109"/>
        <w:gridCol w:w="109"/>
        <w:gridCol w:w="109"/>
        <w:gridCol w:w="109"/>
        <w:gridCol w:w="109"/>
        <w:gridCol w:w="196"/>
        <w:gridCol w:w="871"/>
        <w:gridCol w:w="109"/>
        <w:gridCol w:w="109"/>
        <w:gridCol w:w="109"/>
        <w:gridCol w:w="109"/>
        <w:gridCol w:w="109"/>
        <w:gridCol w:w="961"/>
        <w:gridCol w:w="270"/>
        <w:gridCol w:w="270"/>
        <w:gridCol w:w="271"/>
        <w:gridCol w:w="250"/>
        <w:gridCol w:w="250"/>
        <w:gridCol w:w="251"/>
        <w:gridCol w:w="409"/>
        <w:gridCol w:w="271"/>
        <w:gridCol w:w="131"/>
        <w:gridCol w:w="335"/>
        <w:gridCol w:w="335"/>
        <w:gridCol w:w="336"/>
        <w:gridCol w:w="364"/>
        <w:gridCol w:w="306"/>
        <w:gridCol w:w="141"/>
        <w:gridCol w:w="220"/>
        <w:gridCol w:w="220"/>
        <w:gridCol w:w="221"/>
        <w:gridCol w:w="278"/>
        <w:gridCol w:w="278"/>
        <w:gridCol w:w="241"/>
        <w:gridCol w:w="275"/>
        <w:gridCol w:w="275"/>
        <w:gridCol w:w="276"/>
        <w:gridCol w:w="196"/>
        <w:gridCol w:w="646"/>
        <w:gridCol w:w="109"/>
        <w:gridCol w:w="109"/>
        <w:gridCol w:w="154"/>
      </w:tblGrid>
      <w:tr>
        <w:trPr/>
        <w:tc>
          <w:tcPr>
            <w:tcW w:w="24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1214" w:type="dxa"/>
            <w:gridSpan w:val="5"/>
            <w:tcBorders/>
            <w:shd w:fill="auto" w:val="clear"/>
          </w:tcPr>
          <w:p>
            <w:pPr>
              <w:pStyle w:val="TableContents"/>
              <w:spacing w:before="0" w:after="283"/>
              <w:rPr>
                <w:sz w:val="4"/>
                <w:szCs w:val="4"/>
              </w:rPr>
            </w:pPr>
            <w:r>
              <w:rPr>
                <w:sz w:val="4"/>
                <w:szCs w:val="4"/>
              </w:rPr>
            </w:r>
          </w:p>
        </w:tc>
      </w:tr>
      <w:tr>
        <w:trPr/>
        <w:tc>
          <w:tcPr>
            <w:tcW w:w="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(Liability)</w:t>
            </w:r>
          </w:p>
        </w:tc>
        <w:tc>
          <w:tcPr>
            <w:tcW w:w="263" w:type="dxa"/>
            <w:gridSpan w:val="2"/>
            <w:tcBorders/>
            <w:shd w:fill="auto" w:val="clear"/>
          </w:tcPr>
          <w:p>
            <w:pPr>
              <w:pStyle w:val="TableContents"/>
              <w:spacing w:before="0" w:after="283"/>
              <w:rPr>
                <w:sz w:val="4"/>
                <w:szCs w:val="4"/>
              </w:rPr>
            </w:pPr>
            <w:r>
              <w:rPr>
                <w:sz w:val="4"/>
                <w:szCs w:val="4"/>
              </w:rPr>
            </w:r>
          </w:p>
        </w:tc>
      </w:tr>
      <w:tr>
        <w:trPr/>
        <w:tc>
          <w:tcPr>
            <w:tcW w:w="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13, 2017</w:t>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2019</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2024</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13, 2017</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 2018</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18, 2018</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30, 2022</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18, 2018</w:t>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30, 2022</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2020</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31, 2025</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Term SOFR Loan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2020</w:t>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2025</w:t>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 xml:space="preserve">Basis Swap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31, 2023</w:t>
            </w:r>
          </w:p>
        </w:tc>
        <w:tc>
          <w:tcPr>
            <w:tcW w:w="7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24, 2023</w:t>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984" w:type="dxa"/>
            <w:gridSpan w:val="31"/>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notional of the basis swap amortizes to match the total notional of the interest rate swap portfolio over time</w:t>
            </w:r>
          </w:p>
        </w:tc>
        <w:tc>
          <w:tcPr>
            <w:tcW w:w="661"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2040" w:type="dxa"/>
            <w:gridSpan w:val="8"/>
            <w:tcBorders/>
            <w:shd w:fill="auto" w:val="clear"/>
          </w:tcPr>
          <w:p>
            <w:pPr>
              <w:pStyle w:val="TableContents"/>
              <w:spacing w:before="0" w:after="283"/>
              <w:rPr>
                <w:sz w:val="4"/>
                <w:szCs w:val="4"/>
              </w:rPr>
            </w:pPr>
            <w:r>
              <w:rPr>
                <w:sz w:val="4"/>
                <w:szCs w:val="4"/>
              </w:rPr>
            </w:r>
          </w:p>
        </w:tc>
      </w:tr>
    </w:tbl>
    <w:p>
      <w:pPr>
        <w:pStyle w:val="TextBody"/>
        <w:spacing w:before="240" w:after="240"/>
        <w:ind w:left="0" w:right="0" w:hanging="180"/>
        <w:jc w:val="center"/>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tbl>
      <w:tblPr>
        <w:tblW w:w="10205" w:type="dxa"/>
        <w:jc w:val="center"/>
        <w:tblInd w:w="0" w:type="dxa"/>
        <w:tblCellMar>
          <w:top w:w="28" w:type="dxa"/>
          <w:left w:w="28" w:type="dxa"/>
          <w:bottom w:w="28" w:type="dxa"/>
          <w:right w:w="28" w:type="dxa"/>
        </w:tblCellMar>
      </w:tblPr>
      <w:tblGrid>
        <w:gridCol w:w="357"/>
        <w:gridCol w:w="313"/>
        <w:gridCol w:w="314"/>
        <w:gridCol w:w="109"/>
        <w:gridCol w:w="109"/>
        <w:gridCol w:w="109"/>
        <w:gridCol w:w="109"/>
        <w:gridCol w:w="109"/>
        <w:gridCol w:w="109"/>
        <w:gridCol w:w="109"/>
        <w:gridCol w:w="208"/>
        <w:gridCol w:w="925"/>
        <w:gridCol w:w="115"/>
        <w:gridCol w:w="109"/>
        <w:gridCol w:w="109"/>
        <w:gridCol w:w="109"/>
        <w:gridCol w:w="359"/>
        <w:gridCol w:w="359"/>
        <w:gridCol w:w="360"/>
        <w:gridCol w:w="109"/>
        <w:gridCol w:w="109"/>
        <w:gridCol w:w="109"/>
        <w:gridCol w:w="351"/>
        <w:gridCol w:w="305"/>
        <w:gridCol w:w="306"/>
        <w:gridCol w:w="109"/>
        <w:gridCol w:w="109"/>
        <w:gridCol w:w="109"/>
        <w:gridCol w:w="371"/>
        <w:gridCol w:w="371"/>
        <w:gridCol w:w="372"/>
        <w:gridCol w:w="109"/>
        <w:gridCol w:w="109"/>
        <w:gridCol w:w="109"/>
        <w:gridCol w:w="354"/>
        <w:gridCol w:w="236"/>
        <w:gridCol w:w="449"/>
        <w:gridCol w:w="109"/>
        <w:gridCol w:w="109"/>
        <w:gridCol w:w="109"/>
        <w:gridCol w:w="109"/>
        <w:gridCol w:w="109"/>
        <w:gridCol w:w="227"/>
        <w:gridCol w:w="748"/>
        <w:gridCol w:w="189"/>
      </w:tblGrid>
      <w:tr>
        <w:trPr/>
        <w:tc>
          <w:tcPr>
            <w:tcW w:w="35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Hedged Item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5"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Designation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Interest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9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(Liability)</w:t>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13, 2017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13, 2017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2.313 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8,380 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3.220 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1,831 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1,905 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October 10,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30,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3.209 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1,970 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18, 2018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18,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2.867 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575,000 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31, 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1.415 </w:t>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23,742 </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1-month USD LIBOR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125,000 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July 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31,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1.404 </w:t>
            </w:r>
          </w:p>
        </w:tc>
        <w:tc>
          <w:tcPr>
            <w:tcW w:w="4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5,467 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1,475,000 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56,712 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loss (“AOCL”),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AOCL to interest expense at that time.</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Hedging</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AOCL, net of tax. Those amounts are subsequently reclassified to earnings from AOCL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Cross-Currency Rate Swaps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26, 2022, the Company amended the CHF-denominated intercompany loan to extend the termination date to September 2023 and as a result, the Company early terminated the cross-currency swap designated as cash flow hedge of an intercompany loan with aggregate notional amount of 50.0 million. Simultaneously, the Company entered into a cross-currency swap agreement to convert a notional amount of CHF 48.5 million equivalent to 49.1 million of this amended intercompany loan into U.S. dollars. The loss recorded by the Company upon the settlement of the swap was not material for the period.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21,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payments of CHF 5.8 million plus accrued interest. As a result, the aggregate notional amount of the related cross-currency swaps will decrease by a corresponding amount.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cross-currency rate swaps as of March 31, 2023 and December 31, 2022 (dollar amounts in thousands):</w:t>
      </w:r>
    </w:p>
    <w:tbl>
      <w:tblPr>
        <w:tblW w:w="10205" w:type="dxa"/>
        <w:jc w:val="center"/>
        <w:tblInd w:w="0" w:type="dxa"/>
        <w:tblCellMar>
          <w:top w:w="28" w:type="dxa"/>
          <w:left w:w="28" w:type="dxa"/>
          <w:bottom w:w="28" w:type="dxa"/>
          <w:right w:w="28" w:type="dxa"/>
        </w:tblCellMar>
      </w:tblPr>
      <w:tblGrid>
        <w:gridCol w:w="318"/>
        <w:gridCol w:w="267"/>
        <w:gridCol w:w="207"/>
        <w:gridCol w:w="109"/>
        <w:gridCol w:w="109"/>
        <w:gridCol w:w="109"/>
        <w:gridCol w:w="394"/>
        <w:gridCol w:w="316"/>
        <w:gridCol w:w="317"/>
        <w:gridCol w:w="109"/>
        <w:gridCol w:w="109"/>
        <w:gridCol w:w="109"/>
        <w:gridCol w:w="379"/>
        <w:gridCol w:w="379"/>
        <w:gridCol w:w="380"/>
        <w:gridCol w:w="109"/>
        <w:gridCol w:w="109"/>
        <w:gridCol w:w="109"/>
        <w:gridCol w:w="202"/>
        <w:gridCol w:w="202"/>
        <w:gridCol w:w="204"/>
        <w:gridCol w:w="109"/>
        <w:gridCol w:w="109"/>
        <w:gridCol w:w="109"/>
        <w:gridCol w:w="155"/>
        <w:gridCol w:w="155"/>
        <w:gridCol w:w="156"/>
        <w:gridCol w:w="419"/>
        <w:gridCol w:w="343"/>
        <w:gridCol w:w="253"/>
        <w:gridCol w:w="470"/>
        <w:gridCol w:w="332"/>
        <w:gridCol w:w="333"/>
        <w:gridCol w:w="109"/>
        <w:gridCol w:w="109"/>
        <w:gridCol w:w="109"/>
        <w:gridCol w:w="213"/>
        <w:gridCol w:w="642"/>
        <w:gridCol w:w="118"/>
        <w:gridCol w:w="109"/>
        <w:gridCol w:w="109"/>
        <w:gridCol w:w="109"/>
        <w:gridCol w:w="224"/>
        <w:gridCol w:w="678"/>
        <w:gridCol w:w="187"/>
      </w:tblGrid>
      <w:tr>
        <w:trPr/>
        <w:tc>
          <w:tcPr>
            <w:tcW w:w="31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1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Notional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Asset (Liability)</w:t>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21, 2020</w:t>
            </w:r>
          </w:p>
        </w:tc>
        <w:tc>
          <w:tcPr>
            <w:tcW w:w="32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22,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373,227 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397,137 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w:t>
            </w:r>
          </w:p>
        </w:tc>
        <w:tc>
          <w:tcPr>
            <w:tcW w:w="118"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w:t>
            </w:r>
          </w:p>
        </w:tc>
        <w:tc>
          <w:tcPr>
            <w:tcW w:w="187"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vMerge w:val="continue"/>
            <w:tcBorders/>
            <w:shd w:fill="CCEEFF" w:val="clear"/>
            <w:tcMar>
              <w:top w:w="0" w:type="dxa"/>
              <w:left w:w="0" w:type="dxa"/>
              <w:bottom w:w="0" w:type="dxa"/>
              <w:right w:w="0" w:type="dxa"/>
            </w:tcMar>
            <w:vAlign w:val="center"/>
          </w:tcPr>
          <w:p>
            <w:pPr>
              <w:pStyle w:val="Normal"/>
              <w:rPr/>
            </w:pPr>
            <w:r>
              <w:rPr/>
            </w:r>
          </w:p>
        </w:tc>
        <w:tc>
          <w:tcPr>
            <w:tcW w:w="113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418,980 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445,821 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vMerge w:val="continue"/>
            <w:tcBorders/>
            <w:shd w:fill="CCEEFF" w:val="clear"/>
            <w:tcMar>
              <w:top w:w="0" w:type="dxa"/>
              <w:left w:w="0" w:type="dxa"/>
              <w:bottom w:w="0" w:type="dxa"/>
              <w:right w:w="0" w:type="dxa"/>
            </w:tcMar>
            <w:vAlign w:val="center"/>
          </w:tcPr>
          <w:p>
            <w:pPr>
              <w:pStyle w:val="Normal"/>
              <w:rPr/>
            </w:pPr>
            <w:r>
              <w:rPr/>
            </w:r>
          </w:p>
        </w:tc>
        <w:tc>
          <w:tcPr>
            <w:tcW w:w="118"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vMerge w:val="continue"/>
            <w:tcBorders/>
            <w:shd w:fill="CCEEFF" w:val="clear"/>
            <w:tcMar>
              <w:top w:w="0" w:type="dxa"/>
              <w:left w:w="0" w:type="dxa"/>
              <w:bottom w:w="0" w:type="dxa"/>
              <w:right w:w="0" w:type="dxa"/>
            </w:tcMar>
            <w:vAlign w:val="center"/>
          </w:tcPr>
          <w:p>
            <w:pPr>
              <w:pStyle w:val="Normal"/>
              <w:rPr/>
            </w:pPr>
            <w:r>
              <w:rPr/>
            </w:r>
          </w:p>
        </w:tc>
        <w:tc>
          <w:tcPr>
            <w:tcW w:w="187" w:type="dxa"/>
            <w:vMerge w:val="continue"/>
            <w:tcBorders/>
            <w:shd w:fill="CCEEFF" w:val="clear"/>
            <w:tcMar>
              <w:top w:w="0" w:type="dxa"/>
              <w:left w:w="0" w:type="dxa"/>
              <w:bottom w:w="0" w:type="dxa"/>
              <w:right w:w="0" w:type="dxa"/>
            </w:tcMar>
            <w:vAlign w:val="center"/>
          </w:tcPr>
          <w:p>
            <w:pPr>
              <w:pStyle w:val="Normal"/>
              <w:rPr/>
            </w:pPr>
            <w:r>
              <w:rPr/>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28, 2022</w:t>
            </w:r>
          </w:p>
        </w:tc>
        <w:tc>
          <w:tcPr>
            <w:tcW w:w="327" w:type="dxa"/>
            <w:gridSpan w:val="3"/>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29,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48,533 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48,532 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w:t>
            </w:r>
          </w:p>
        </w:tc>
        <w:tc>
          <w:tcPr>
            <w:tcW w:w="118"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w:t>
            </w:r>
          </w:p>
        </w:tc>
        <w:tc>
          <w:tcPr>
            <w:tcW w:w="187"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vMerge w:val="continue"/>
            <w:tcBorders/>
            <w:shd w:fill="CCEEFF" w:val="clear"/>
            <w:tcMar>
              <w:top w:w="0" w:type="dxa"/>
              <w:left w:w="0" w:type="dxa"/>
              <w:bottom w:w="0" w:type="dxa"/>
              <w:right w:w="0" w:type="dxa"/>
            </w:tcMar>
            <w:vAlign w:val="center"/>
          </w:tcPr>
          <w:p>
            <w:pPr>
              <w:pStyle w:val="Normal"/>
              <w:rPr/>
            </w:pPr>
            <w:r>
              <w:rPr/>
            </w:r>
          </w:p>
        </w:tc>
        <w:tc>
          <w:tcPr>
            <w:tcW w:w="1138"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49,142 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49,142 </w:t>
            </w:r>
          </w:p>
        </w:tc>
        <w:tc>
          <w:tcPr>
            <w:tcW w:w="3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2"/>
            <w:vMerge w:val="continue"/>
            <w:tcBorders/>
            <w:shd w:fill="CCEEFF" w:val="clear"/>
            <w:tcMar>
              <w:top w:w="0" w:type="dxa"/>
              <w:left w:w="0" w:type="dxa"/>
              <w:bottom w:w="0" w:type="dxa"/>
              <w:right w:w="0" w:type="dxa"/>
            </w:tcMar>
            <w:vAlign w:val="center"/>
          </w:tcPr>
          <w:p>
            <w:pPr>
              <w:pStyle w:val="Normal"/>
              <w:rPr/>
            </w:pPr>
            <w:r>
              <w:rPr/>
            </w:r>
          </w:p>
        </w:tc>
        <w:tc>
          <w:tcPr>
            <w:tcW w:w="118"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vMerge w:val="continue"/>
            <w:tcBorders/>
            <w:shd w:fill="CCEEFF" w:val="clear"/>
            <w:tcMar>
              <w:top w:w="0" w:type="dxa"/>
              <w:left w:w="0" w:type="dxa"/>
              <w:bottom w:w="0" w:type="dxa"/>
              <w:right w:w="0" w:type="dxa"/>
            </w:tcMar>
            <w:vAlign w:val="center"/>
          </w:tcPr>
          <w:p>
            <w:pPr>
              <w:pStyle w:val="Normal"/>
              <w:rPr/>
            </w:pPr>
            <w:r>
              <w:rPr/>
            </w:r>
          </w:p>
        </w:tc>
        <w:tc>
          <w:tcPr>
            <w:tcW w:w="187" w:type="dxa"/>
            <w:vMerge w:val="continue"/>
            <w:tcBorders/>
            <w:shd w:fill="CCEEFF" w:val="clear"/>
            <w:tcMar>
              <w:top w:w="0" w:type="dxa"/>
              <w:left w:w="0" w:type="dxa"/>
              <w:bottom w:w="0" w:type="dxa"/>
              <w:right w:w="0" w:type="dxa"/>
            </w:tcMar>
            <w:vAlign w:val="center"/>
          </w:tcPr>
          <w:p>
            <w:pPr>
              <w:pStyle w:val="Normal"/>
              <w:rPr/>
            </w:pPr>
            <w:r>
              <w:rPr/>
            </w:r>
          </w:p>
        </w:tc>
      </w:tr>
      <w:tr>
        <w:trPr/>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(7,044)</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(7,769)</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cross-currency swaps are carried on the consolidated balance sheet at fair value, and changes in the fair values are recorded as unrealized gains or losses in AOCL. For the three months ended March 31, 2023, and 2022, the Company recorded a loss of $4.9 million and a gain $6.5 million, respectively, in other income, net related to change in fair value related to the foreign currency rate translation to offset the losses recognized on the intercompany loans.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recorded a gain of $7.5 million and $7.9 million in AOCL, respectively, related to change in fair value of the cross-currency swaps.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recorded a gain of $1.5 million and $1.8 million, respectively, in other income, net included in the consolidated statements of operations related to the interest rate differential of the cross-currency swaps.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gain that is expected to be reclassified to other income (expense), net from AOCL as of March 31, 2023 within the next twelve months is $0.1 million. As of March 31, 2023, the Company does not expect any gains or losses will be reclassified into earnings as a result of the discontinuance of these cash flow hedges because the original forecasted transaction will not occur.</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Net Investment Hedges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and December 16, 2020, the Company entered into cross-currency swap agreements designated as net investment hedges to partially offset the effects of foreign currency on foreign subsidiaries.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the following cross-currency rate swaps designated as net investment hedges as of March 31, 2023 and December 31, 2022, respectively (dollar amounts in thousands):</w:t>
      </w:r>
    </w:p>
    <w:tbl>
      <w:tblPr>
        <w:tblW w:w="10205" w:type="dxa"/>
        <w:jc w:val="center"/>
        <w:tblInd w:w="0" w:type="dxa"/>
        <w:tblCellMar>
          <w:top w:w="28" w:type="dxa"/>
          <w:left w:w="28" w:type="dxa"/>
          <w:bottom w:w="28" w:type="dxa"/>
          <w:right w:w="28" w:type="dxa"/>
        </w:tblCellMar>
      </w:tblPr>
      <w:tblGrid>
        <w:gridCol w:w="306"/>
        <w:gridCol w:w="255"/>
        <w:gridCol w:w="187"/>
        <w:gridCol w:w="109"/>
        <w:gridCol w:w="109"/>
        <w:gridCol w:w="109"/>
        <w:gridCol w:w="276"/>
        <w:gridCol w:w="276"/>
        <w:gridCol w:w="277"/>
        <w:gridCol w:w="109"/>
        <w:gridCol w:w="109"/>
        <w:gridCol w:w="109"/>
        <w:gridCol w:w="362"/>
        <w:gridCol w:w="362"/>
        <w:gridCol w:w="363"/>
        <w:gridCol w:w="109"/>
        <w:gridCol w:w="109"/>
        <w:gridCol w:w="109"/>
        <w:gridCol w:w="190"/>
        <w:gridCol w:w="190"/>
        <w:gridCol w:w="191"/>
        <w:gridCol w:w="109"/>
        <w:gridCol w:w="109"/>
        <w:gridCol w:w="109"/>
        <w:gridCol w:w="155"/>
        <w:gridCol w:w="155"/>
        <w:gridCol w:w="156"/>
        <w:gridCol w:w="419"/>
        <w:gridCol w:w="332"/>
        <w:gridCol w:w="231"/>
        <w:gridCol w:w="109"/>
        <w:gridCol w:w="109"/>
        <w:gridCol w:w="109"/>
        <w:gridCol w:w="466"/>
        <w:gridCol w:w="310"/>
        <w:gridCol w:w="311"/>
        <w:gridCol w:w="109"/>
        <w:gridCol w:w="109"/>
        <w:gridCol w:w="109"/>
        <w:gridCol w:w="206"/>
        <w:gridCol w:w="614"/>
        <w:gridCol w:w="114"/>
        <w:gridCol w:w="109"/>
        <w:gridCol w:w="109"/>
        <w:gridCol w:w="109"/>
        <w:gridCol w:w="255"/>
        <w:gridCol w:w="746"/>
        <w:gridCol w:w="211"/>
      </w:tblGrid>
      <w:tr>
        <w:trPr/>
        <w:tc>
          <w:tcPr>
            <w:tcW w:w="30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Fixed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2"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Notional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br/>
              <w:t>Asset (Liability)</w:t>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EUR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EUR</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51,760 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3,989 </w:t>
            </w:r>
          </w:p>
        </w:tc>
        <w:tc>
          <w:tcPr>
            <w:tcW w:w="114"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4,713 </w:t>
            </w:r>
          </w:p>
        </w:tc>
        <w:tc>
          <w:tcPr>
            <w:tcW w:w="211"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continue"/>
            <w:tcBorders/>
            <w:shd w:fill="CCEEFF" w:val="clear"/>
            <w:tcMar>
              <w:top w:w="0" w:type="dxa"/>
              <w:left w:w="0" w:type="dxa"/>
              <w:bottom w:w="0" w:type="dxa"/>
              <w:right w:w="0" w:type="dxa"/>
            </w:tcMar>
            <w:vAlign w:val="center"/>
          </w:tcPr>
          <w:p>
            <w:pPr>
              <w:pStyle w:val="Normal"/>
              <w:rPr/>
            </w:pPr>
            <w:r>
              <w:rPr/>
            </w:r>
          </w:p>
        </w:tc>
        <w:tc>
          <w:tcPr>
            <w:tcW w:w="114"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continue"/>
            <w:tcBorders/>
            <w:shd w:fill="CCEEFF" w:val="clear"/>
            <w:tcMar>
              <w:top w:w="0" w:type="dxa"/>
              <w:left w:w="0" w:type="dxa"/>
              <w:bottom w:w="0" w:type="dxa"/>
              <w:right w:w="0" w:type="dxa"/>
            </w:tcMar>
            <w:vAlign w:val="center"/>
          </w:tcPr>
          <w:p>
            <w:pPr>
              <w:pStyle w:val="Normal"/>
              <w:rPr/>
            </w:pPr>
            <w:r>
              <w:rPr/>
            </w:r>
          </w:p>
        </w:tc>
        <w:tc>
          <w:tcPr>
            <w:tcW w:w="211" w:type="dxa"/>
            <w:vMerge w:val="continue"/>
            <w:tcBorders/>
            <w:shd w:fill="CCEEFF" w:val="clear"/>
            <w:tcMar>
              <w:top w:w="0" w:type="dxa"/>
              <w:left w:w="0" w:type="dxa"/>
              <w:bottom w:w="0" w:type="dxa"/>
              <w:right w:w="0" w:type="dxa"/>
            </w:tcMar>
            <w:vAlign w:val="center"/>
          </w:tcPr>
          <w:p>
            <w:pPr>
              <w:pStyle w:val="Normal"/>
              <w:rPr/>
            </w:pPr>
            <w:r>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EUR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 2018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EUR</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38,820 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3,932 </w:t>
            </w:r>
          </w:p>
        </w:tc>
        <w:tc>
          <w:tcPr>
            <w:tcW w:w="114"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4,307 </w:t>
            </w:r>
          </w:p>
        </w:tc>
        <w:tc>
          <w:tcPr>
            <w:tcW w:w="211"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continue"/>
            <w:tcBorders/>
            <w:shd w:fill="CCEEFF" w:val="clear"/>
            <w:tcMar>
              <w:top w:w="0" w:type="dxa"/>
              <w:left w:w="0" w:type="dxa"/>
              <w:bottom w:w="0" w:type="dxa"/>
              <w:right w:w="0" w:type="dxa"/>
            </w:tcMar>
            <w:vAlign w:val="center"/>
          </w:tcPr>
          <w:p>
            <w:pPr>
              <w:pStyle w:val="Normal"/>
              <w:rPr/>
            </w:pPr>
            <w:r>
              <w:rPr/>
            </w:r>
          </w:p>
        </w:tc>
        <w:tc>
          <w:tcPr>
            <w:tcW w:w="114"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continue"/>
            <w:tcBorders/>
            <w:shd w:fill="CCEEFF" w:val="clear"/>
            <w:tcMar>
              <w:top w:w="0" w:type="dxa"/>
              <w:left w:w="0" w:type="dxa"/>
              <w:bottom w:w="0" w:type="dxa"/>
              <w:right w:w="0" w:type="dxa"/>
            </w:tcMar>
            <w:vAlign w:val="center"/>
          </w:tcPr>
          <w:p>
            <w:pPr>
              <w:pStyle w:val="Normal"/>
              <w:rPr/>
            </w:pPr>
            <w:r>
              <w:rPr/>
            </w:r>
          </w:p>
        </w:tc>
        <w:tc>
          <w:tcPr>
            <w:tcW w:w="211" w:type="dxa"/>
            <w:vMerge w:val="continue"/>
            <w:tcBorders/>
            <w:shd w:fill="CCEEFF" w:val="clear"/>
            <w:tcMar>
              <w:top w:w="0" w:type="dxa"/>
              <w:left w:w="0" w:type="dxa"/>
              <w:bottom w:w="0" w:type="dxa"/>
              <w:right w:w="0" w:type="dxa"/>
            </w:tcMar>
            <w:vAlign w:val="center"/>
          </w:tcPr>
          <w:p>
            <w:pPr>
              <w:pStyle w:val="Normal"/>
              <w:rPr/>
            </w:pPr>
            <w:r>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restart"/>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CHF</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288,210 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288,210 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(14,711)</w:t>
            </w:r>
          </w:p>
        </w:tc>
        <w:tc>
          <w:tcPr>
            <w:tcW w:w="114"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restart"/>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(14,663)</w:t>
            </w:r>
          </w:p>
        </w:tc>
        <w:tc>
          <w:tcPr>
            <w:tcW w:w="211" w:type="dxa"/>
            <w:vMerge w:val="restart"/>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0" w:type="dxa"/>
            <w:gridSpan w:val="2"/>
            <w:vMerge w:val="continue"/>
            <w:tcBorders/>
            <w:shd w:fill="CCEEFF" w:val="clear"/>
            <w:tcMar>
              <w:top w:w="0" w:type="dxa"/>
              <w:left w:w="0" w:type="dxa"/>
              <w:bottom w:w="0" w:type="dxa"/>
              <w:right w:w="0" w:type="dxa"/>
            </w:tcMar>
            <w:vAlign w:val="center"/>
          </w:tcPr>
          <w:p>
            <w:pPr>
              <w:pStyle w:val="Normal"/>
              <w:rPr/>
            </w:pPr>
            <w:r>
              <w:rPr/>
            </w:r>
          </w:p>
        </w:tc>
        <w:tc>
          <w:tcPr>
            <w:tcW w:w="114" w:type="dxa"/>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vMerge w:val="continue"/>
            <w:tcBorders/>
            <w:shd w:fill="CCEEFF" w:val="clear"/>
            <w:tcMar>
              <w:top w:w="0" w:type="dxa"/>
              <w:left w:w="0" w:type="dxa"/>
              <w:bottom w:w="0" w:type="dxa"/>
              <w:right w:w="0" w:type="dxa"/>
            </w:tcMar>
            <w:vAlign w:val="center"/>
          </w:tcPr>
          <w:p>
            <w:pPr>
              <w:pStyle w:val="Normal"/>
              <w:rPr/>
            </w:pPr>
            <w:r>
              <w:rPr/>
            </w:r>
          </w:p>
        </w:tc>
        <w:tc>
          <w:tcPr>
            <w:tcW w:w="211" w:type="dxa"/>
            <w:vMerge w:val="continue"/>
            <w:tcBorders/>
            <w:shd w:fill="CCEEFF" w:val="clear"/>
            <w:tcMar>
              <w:top w:w="0" w:type="dxa"/>
              <w:left w:w="0" w:type="dxa"/>
              <w:bottom w:w="0" w:type="dxa"/>
              <w:right w:w="0" w:type="dxa"/>
            </w:tcMar>
            <w:vAlign w:val="center"/>
          </w:tcPr>
          <w:p>
            <w:pPr>
              <w:pStyle w:val="Normal"/>
              <w:rPr/>
            </w:pPr>
            <w:r>
              <w:rPr/>
            </w:r>
          </w:p>
        </w:tc>
      </w:tr>
      <w:tr>
        <w:trPr/>
        <w:tc>
          <w:tcPr>
            <w:tcW w:w="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cross-currency swaps were carried on the consolidated balance sheet at fair value and changes in the fair values were recorded as unrealized gains or losses in AOCL. For the three months ended March 31, 2023 and 2022, the Company recorded a loss of $1.1 million and a gain $1.3 million, respectively, in AOCL related to the change in fair value of the cross-currency swaps.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 Company recorded gains of $2.1 million and $1.3 million, respectively, in interest income included in the consolidated statements of operations related to the interest rate differential of the cross-currency swaps.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estimated gain that is expected to be reclassified to interest income from AOCL as of March 31, 2023 within the next twelve months is $10.9 million.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Foreign Currency Forward Contract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entered into a hedge for forecasted intercompany purchases denominated in foreign currencies through the use of forward contracts designated as cash flow hedges. To the extent these forward contracts meet hedge accounting criteria, changes in their fair value are not included in accumulated comprehensive loss. These changes in fair value will be recognized into earnings as a component of cost of sales when the forecasted-transaction occurs.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entered into Foreign Currency Forward Contracts with a notional amount of $10.8 million to mitigate the risk of foreign currency on intercompany purchases in CHF. During the three months ended March 31, 2023 the Company recorded an immaterial loss in AOCL related to the change in fair value of the Foreign Currency Forward Contracts.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Counterparty Credit Risk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Fair Value of Derivative Instruments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of its derivative instruments within Level 2 of the fair value hierarchy because observable inputs are available for substantially the full term of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fair value for derivatives designated as hedging instruments in the condensed consolidated balance sheets as of March 31, 2023 and December 31, 2022:</w:t>
      </w:r>
    </w:p>
    <w:tbl>
      <w:tblPr>
        <w:tblW w:w="7958" w:type="dxa"/>
        <w:jc w:val="left"/>
        <w:tblInd w:w="0" w:type="dxa"/>
        <w:tblCellMar>
          <w:top w:w="28" w:type="dxa"/>
          <w:left w:w="28" w:type="dxa"/>
          <w:bottom w:w="28" w:type="dxa"/>
          <w:right w:w="28" w:type="dxa"/>
        </w:tblCellMar>
      </w:tblPr>
      <w:tblGrid>
        <w:gridCol w:w="1470"/>
        <w:gridCol w:w="1294"/>
        <w:gridCol w:w="1300"/>
        <w:gridCol w:w="109"/>
        <w:gridCol w:w="109"/>
        <w:gridCol w:w="109"/>
        <w:gridCol w:w="259"/>
        <w:gridCol w:w="856"/>
        <w:gridCol w:w="144"/>
        <w:gridCol w:w="109"/>
        <w:gridCol w:w="109"/>
        <w:gridCol w:w="109"/>
        <w:gridCol w:w="309"/>
        <w:gridCol w:w="1019"/>
        <w:gridCol w:w="172"/>
        <w:gridCol w:w="109"/>
        <w:gridCol w:w="109"/>
        <w:gridCol w:w="109"/>
        <w:gridCol w:w="154"/>
      </w:tblGrid>
      <w:tr>
        <w:trPr/>
        <w:tc>
          <w:tcPr>
            <w:tcW w:w="1470" w:type="dxa"/>
            <w:tcBorders/>
            <w:shd w:fill="auto" w:val="clear"/>
            <w:vAlign w:val="center"/>
          </w:tcPr>
          <w:p>
            <w:pPr>
              <w:pStyle w:val="TableContents"/>
              <w:spacing w:before="0" w:after="283"/>
              <w:rPr>
                <w:sz w:val="4"/>
                <w:szCs w:val="4"/>
              </w:rPr>
            </w:pPr>
            <w:r>
              <w:rPr>
                <w:sz w:val="4"/>
                <w:szCs w:val="4"/>
              </w:rPr>
            </w:r>
          </w:p>
        </w:tc>
        <w:tc>
          <w:tcPr>
            <w:tcW w:w="1294"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6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 xml:space="preserve">Location on Balance Sheet </w:t>
            </w:r>
            <w:r>
              <w:rPr>
                <w:rFonts w:ascii="Times New Roman;sans-serif" w:hAnsi="Times New Roman;sans-serif"/>
                <w:b/>
                <w:color w:val="000000"/>
                <w:sz w:val="10"/>
              </w:rPr>
              <w:t>(1)</w:t>
            </w: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6"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Interest rate swap</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16,682 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Interest rate swap</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28,861 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40,030 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2,940 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62,541 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76,173 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Interest rate swap</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4,011 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Interest rate swap</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8,738 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20,672 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20,608 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33,766 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8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The Company classifies derivative assets and liabilities as current based on the cash flows expected to be incurred within the following 12 months.</w:t>
      </w:r>
    </w:p>
    <w:p>
      <w:pPr>
        <w:pStyle w:val="TextBody"/>
        <w:spacing w:lineRule="auto" w:line="288" w:before="0" w:after="240"/>
        <w:ind w:left="0" w:right="0" w:hanging="18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At March 31, 2023 and December 31, 2022, the total notional amounts related to the Company’s interest rate swaps were both $1.5 billion, respectively.</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the effect of derivative instruments designated as cash flow hedges and net investment hedges on the accompanying condensed consolidated statement of operations during the three months ended March 31, 2023 and 2022:</w:t>
      </w:r>
    </w:p>
    <w:tbl>
      <w:tblPr>
        <w:tblW w:w="10205" w:type="dxa"/>
        <w:jc w:val="left"/>
        <w:tblInd w:w="0" w:type="dxa"/>
        <w:tblCellMar>
          <w:top w:w="28" w:type="dxa"/>
          <w:left w:w="28" w:type="dxa"/>
          <w:bottom w:w="28" w:type="dxa"/>
          <w:right w:w="28" w:type="dxa"/>
        </w:tblCellMar>
      </w:tblPr>
      <w:tblGrid>
        <w:gridCol w:w="910"/>
        <w:gridCol w:w="636"/>
        <w:gridCol w:w="638"/>
        <w:gridCol w:w="280"/>
        <w:gridCol w:w="944"/>
        <w:gridCol w:w="157"/>
        <w:gridCol w:w="109"/>
        <w:gridCol w:w="109"/>
        <w:gridCol w:w="109"/>
        <w:gridCol w:w="225"/>
        <w:gridCol w:w="760"/>
        <w:gridCol w:w="126"/>
        <w:gridCol w:w="109"/>
        <w:gridCol w:w="109"/>
        <w:gridCol w:w="109"/>
        <w:gridCol w:w="346"/>
        <w:gridCol w:w="1010"/>
        <w:gridCol w:w="194"/>
        <w:gridCol w:w="109"/>
        <w:gridCol w:w="109"/>
        <w:gridCol w:w="109"/>
        <w:gridCol w:w="280"/>
        <w:gridCol w:w="944"/>
        <w:gridCol w:w="157"/>
        <w:gridCol w:w="109"/>
        <w:gridCol w:w="109"/>
        <w:gridCol w:w="109"/>
        <w:gridCol w:w="376"/>
        <w:gridCol w:w="376"/>
        <w:gridCol w:w="538"/>
      </w:tblGrid>
      <w:tr>
        <w:trPr/>
        <w:tc>
          <w:tcPr>
            <w:tcW w:w="91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in AOCL</w:t>
              <w:br/>
              <w:t>Beginning of</w:t>
              <w:br/>
              <w:t>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w:t>
              <w:br/>
              <w:t>Gain (Loss)</w:t>
              <w:br/>
              <w:t>Recognized in</w:t>
              <w:br/>
              <w:t>AOCL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w:t>
              <w:br/>
              <w:t>Reclassified from</w:t>
              <w:br/>
              <w:t>AOCL into</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in AOCL</w:t>
              <w:br/>
              <w:t>End of Quarter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w:t>
              <w:br/>
              <w:t>Statements of</w:t>
              <w:br/>
              <w:t>Operations</w:t>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56,712 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2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(3,504)</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w:t>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r>
      <w:tr>
        <w:trPr/>
        <w:tc>
          <w:tcPr>
            <w:tcW w:w="2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r>
      <w:tr>
        <w:trPr/>
        <w:tc>
          <w:tcPr>
            <w:tcW w:w="2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Cash Flow Hedges</w:t>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w:t>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41,675 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(5,213)</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(9,688)</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8,331 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r>
      <w:tr>
        <w:trPr/>
        <w:tc>
          <w:tcPr>
            <w:tcW w:w="2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Net Investment Hedges</w:t>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Cross-currency swap</w:t>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1,320 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r>
      <w:tr>
        <w:trPr/>
        <w:tc>
          <w:tcPr>
            <w:tcW w:w="2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(55,956)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(17,094)</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r>
        <w:trPr/>
        <w:tc>
          <w:tcPr>
            <w:tcW w:w="2184"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Derivative Instruments not designated hedges: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second quarter of 2021, the Company entered into a foreign currency swap, with a notional amount of $7.3 million to mitigate the risk from fluctuations in foreign currency exchange rates associated with an intercompany loan denominated in JPY.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$6.4 million.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gains (losses) of derivative instruments not designated as hedges on the condensed consolidated statements of income, which was included in other income:</w:t>
      </w:r>
    </w:p>
    <w:tbl>
      <w:tblPr>
        <w:tblW w:w="6052" w:type="dxa"/>
        <w:jc w:val="center"/>
        <w:tblInd w:w="0" w:type="dxa"/>
        <w:tblCellMar>
          <w:top w:w="28" w:type="dxa"/>
          <w:left w:w="28" w:type="dxa"/>
          <w:bottom w:w="28" w:type="dxa"/>
          <w:right w:w="28" w:type="dxa"/>
        </w:tblCellMar>
      </w:tblPr>
      <w:tblGrid>
        <w:gridCol w:w="664"/>
        <w:gridCol w:w="582"/>
        <w:gridCol w:w="584"/>
        <w:gridCol w:w="109"/>
        <w:gridCol w:w="109"/>
        <w:gridCol w:w="109"/>
        <w:gridCol w:w="109"/>
        <w:gridCol w:w="109"/>
        <w:gridCol w:w="329"/>
        <w:gridCol w:w="329"/>
        <w:gridCol w:w="592"/>
        <w:gridCol w:w="1000"/>
        <w:gridCol w:w="329"/>
        <w:gridCol w:w="109"/>
        <w:gridCol w:w="109"/>
        <w:gridCol w:w="109"/>
        <w:gridCol w:w="196"/>
        <w:gridCol w:w="421"/>
        <w:gridCol w:w="154"/>
      </w:tblGrid>
      <w:tr>
        <w:trPr/>
        <w:tc>
          <w:tcPr>
            <w:tcW w:w="664"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8" w:type="dxa"/>
            <w:gridSpan w:val="6"/>
            <w:tcBorders/>
            <w:shd w:fill="auto" w:val="clear"/>
          </w:tcPr>
          <w:p>
            <w:pPr>
              <w:pStyle w:val="TableContents"/>
              <w:spacing w:before="0" w:after="283"/>
              <w:rPr>
                <w:sz w:val="4"/>
                <w:szCs w:val="4"/>
              </w:rPr>
            </w:pPr>
            <w:r>
              <w:rPr>
                <w:sz w:val="4"/>
                <w:szCs w:val="4"/>
              </w:rPr>
            </w:r>
          </w:p>
        </w:tc>
      </w:tr>
      <w:tr>
        <w:trPr/>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9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8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9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swaps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15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8. STOCK-BASED COMPENSATION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stock options, restricted stock awards, performance stock awards, contract stock awards and restricted stock unit awards outstanding under the Integra LifeSciences Holdings Corporation Fifth Amended and Restated 2003 Equity Incentive Plan (the “2003 Plan”). The 2000 and 2001 Equity Incentive Plans were terminated as of February 19, 2021, and no further awards may be issued under the plans.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 in-control provisions within their grant agreements.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were approximately $5.6 million of total unrecognized compensation costs related to unvested stock options. These costs are expected to be recognized over a weighted-average period of approximately three years. There were 151,293 stock options granted during the three months ended March 31, 2023. For the three months ended March 31, 2023, the weighted average grant date fair value for stock options granted was $21.58 per option.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Awards of Restricted Stock and Performance Stock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stock and restricted stock awards generally have requisite service periods of three years, except in certain instances that result in accelerated vesting due to death, disability, retirement age provision or change in-control provisions in their grant agreements. Performance stock units are subject to graded vesting conditions based on revenue goals of the Company. The Company expenses the fair value of restricted stock awards on a straight-line basis over the requisite service period. As of March 31, 2023, there was approximately $48.6 million of total unrecognized compensation costs related to these unvested awards. The Company expects to recognize these costs over a weighted-average period of approximately two years. The Company granted 346,745 restricted stock awards and 161,218 performance stock awards during the three months ended March 31, 2023. For the three months ended March 31, 2023, the weighted average grant date fair value for restricted stock awards and performance stock units granted was $53.37 and $52.87 per award, respectively.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9. RETIREMENT PLANS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defined benefit pension plans that cover certain employees in France, Japan, Germany and Switzerland.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for the Company’s defined benefit pension plans for the three months ended March 31, 2023 were $0.3 million. The components of the net periodic benefit costs other than the service cost component of $0.5 million for the three months ended March 31, 2023 are included in other income, net in the consolidated statements of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costs for the Company’s defined benefit pension plans for the three months ended March 31, 2022 were $0.3 million. The components of the net periodic benefit costs other than the service cost component of $0.7 million for the three months ended March 31, 2022 are included in other income, net in the consolidated statements of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plan assets were $36.4 million and $38.1 million as of March 31, 2023 and December 31, 2022, respectively. The net plan assets of the pension plans are invested in common trusts as of March 31, 2023 and December 31, 2022.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Deferred Compensation Plan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$5.0 million and $4.7 million as of March 31, 2023 and December 31, 2022, respectively. Offsetting liabilities relating to the deferred compensation plan are included in Other liabilities.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10. LEASES AND RELATED PARTY LEASES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administrative, manufacturing, research and distribution facilities and vehicles through operating lease agreements. The Company has no finance leases as of March 31, 2023. Many of the Company's leases include both lease (e.g., fixed payments including rent) and non-lease components (e.g., common-area or other maintenance costs). For vehicles, the Company has elected the practical expedient to group lease and non-lease components.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operating lease expense for the three months ended March 31, 2023 and March 31, 2022 was $6.0 million and $4.9 million respectively, which includes $0.1 million, in related party operating lease expense.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were as follows:</w:t>
      </w:r>
    </w:p>
    <w:tbl>
      <w:tblPr>
        <w:tblW w:w="7601" w:type="dxa"/>
        <w:jc w:val="center"/>
        <w:tblInd w:w="0" w:type="dxa"/>
        <w:tblCellMar>
          <w:top w:w="28" w:type="dxa"/>
          <w:left w:w="28" w:type="dxa"/>
          <w:bottom w:w="28" w:type="dxa"/>
          <w:right w:w="28" w:type="dxa"/>
        </w:tblCellMar>
      </w:tblPr>
      <w:tblGrid>
        <w:gridCol w:w="1461"/>
        <w:gridCol w:w="1282"/>
        <w:gridCol w:w="1291"/>
        <w:gridCol w:w="109"/>
        <w:gridCol w:w="109"/>
        <w:gridCol w:w="109"/>
        <w:gridCol w:w="109"/>
        <w:gridCol w:w="208"/>
        <w:gridCol w:w="781"/>
        <w:gridCol w:w="271"/>
        <w:gridCol w:w="109"/>
        <w:gridCol w:w="109"/>
        <w:gridCol w:w="109"/>
        <w:gridCol w:w="245"/>
        <w:gridCol w:w="922"/>
        <w:gridCol w:w="377"/>
      </w:tblGrid>
      <w:tr>
        <w:trPr/>
        <w:tc>
          <w:tcPr>
            <w:tcW w:w="1461"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lease term and discount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146,514 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148,284 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14,624 </w:t>
            </w:r>
          </w:p>
        </w:tc>
        <w:tc>
          <w:tcPr>
            <w:tcW w:w="3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157,420 </w:t>
            </w:r>
          </w:p>
        </w:tc>
        <w:tc>
          <w:tcPr>
            <w:tcW w:w="3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172,044 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(in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years</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years</w:t>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vehicles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3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for the three months ended March 31, 2023 and 2022 were as follows:</w:t>
      </w:r>
    </w:p>
    <w:tbl>
      <w:tblPr>
        <w:tblW w:w="7975" w:type="dxa"/>
        <w:jc w:val="center"/>
        <w:tblInd w:w="0" w:type="dxa"/>
        <w:tblCellMar>
          <w:top w:w="28" w:type="dxa"/>
          <w:left w:w="28" w:type="dxa"/>
          <w:bottom w:w="28" w:type="dxa"/>
          <w:right w:w="28" w:type="dxa"/>
        </w:tblCellMar>
      </w:tblPr>
      <w:tblGrid>
        <w:gridCol w:w="1844"/>
        <w:gridCol w:w="1618"/>
        <w:gridCol w:w="1622"/>
        <w:gridCol w:w="287"/>
        <w:gridCol w:w="814"/>
        <w:gridCol w:w="159"/>
        <w:gridCol w:w="109"/>
        <w:gridCol w:w="109"/>
        <w:gridCol w:w="109"/>
        <w:gridCol w:w="282"/>
        <w:gridCol w:w="801"/>
        <w:gridCol w:w="221"/>
      </w:tblGrid>
      <w:tr>
        <w:trPr/>
        <w:tc>
          <w:tcPr>
            <w:tcW w:w="1844"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lineRule="auto" w:line="240" w:before="12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lease liabilities:</w:t>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 assets obtained in exchange for lease liabilities:</w:t>
            </w:r>
          </w:p>
        </w:tc>
        <w:tc>
          <w:tcPr>
            <w:tcW w:w="12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operating leases at March 31, 2023 were as follows:</w:t>
      </w:r>
    </w:p>
    <w:tbl>
      <w:tblPr>
        <w:tblW w:w="6328" w:type="dxa"/>
        <w:jc w:val="left"/>
        <w:tblInd w:w="0" w:type="dxa"/>
        <w:tblCellMar>
          <w:top w:w="28" w:type="dxa"/>
          <w:left w:w="28" w:type="dxa"/>
          <w:bottom w:w="28" w:type="dxa"/>
          <w:right w:w="28" w:type="dxa"/>
        </w:tblCellMar>
      </w:tblPr>
      <w:tblGrid>
        <w:gridCol w:w="838"/>
        <w:gridCol w:w="735"/>
        <w:gridCol w:w="737"/>
        <w:gridCol w:w="276"/>
        <w:gridCol w:w="785"/>
        <w:gridCol w:w="153"/>
        <w:gridCol w:w="109"/>
        <w:gridCol w:w="109"/>
        <w:gridCol w:w="109"/>
        <w:gridCol w:w="200"/>
        <w:gridCol w:w="753"/>
        <w:gridCol w:w="111"/>
        <w:gridCol w:w="109"/>
        <w:gridCol w:w="109"/>
        <w:gridCol w:w="109"/>
        <w:gridCol w:w="196"/>
        <w:gridCol w:w="736"/>
        <w:gridCol w:w="154"/>
      </w:tblGrid>
      <w:tr>
        <w:trPr/>
        <w:tc>
          <w:tcPr>
            <w:tcW w:w="838"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Related Parties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 Parties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Remainder of 2023</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21,086 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17,148 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16,205 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151,206 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lease payments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255,219 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85,465 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lease liabilities</w:t>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lease liabilities</w:t>
            </w:r>
          </w:p>
        </w:tc>
        <w:tc>
          <w:tcPr>
            <w:tcW w:w="12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future minimum lease payments under finance leases at March 31, 2023.</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Related Party Leases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leases its manufacturing facility in Plainsboro, New Jersey, from Plainsboro Associates, a New Jersey general partnership. Ocirne, Inc., a subsidiary of Provco Industries, owns a 50% % interest in Plainsboro Associates. Provco Industries is the corporate general partner of Tru St. Partnership LLP, a principal stockholder of the Company. The term of the current lease agreement is through October 31, 2029 at an annual rate of approximately $0.3 million per year.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11. TREASURY STOCK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there were 8.9 million and 6.8 million shares of treasury stock outstanding with a cost of $481.7 million and $362.9 million, at a weighted average cost per share of $54.01 and $53.18, respectively.</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26, 2023, the Company entered into a $150 million accelerated share repurchase ("2023 ASR") and received 2.1 million shares of the Company common stock at inception of the 2023 ASR, which represented approximately 80% of the expected total shares under the 2023 ASR. The remaining repurchase transactions are expected to be completed in the second quarter of 2023.</w:t>
      </w:r>
    </w:p>
    <w:p>
      <w:pPr>
        <w:pStyle w:val="TextBody"/>
        <w:spacing w:lineRule="auto" w:line="26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Inflation Reduction Act of 2022 (the “Act”) was signed into law. The Act implements a new excise tax of 1% on the net share repurchases made by the company effective for share repurchases performed January 1, 2023, or after. The company accrued $1.2 million regarding the excise tax in Q-1 related to the ASR mentioned above.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12, 2022, the Company entered into a $125 million accelerated share repurchase ("2022 ASR") and received 1.48 million shares of Company common stock at inception of the 2022 ASR, which represented approximately 80% of the expected total shares under the 2022 ASR. On March 24, 2022, the early exercise provision under the 2022 ASR was exercised by 2022 ASR counterparty. Upon settlement on March 24, 2022, the Company received an additional 0.46 million shares determined using the volume-weighted average price of the Company's common stock during the term of the 2022 ASR.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the Company's effective tax rate:</w:t>
      </w:r>
    </w:p>
    <w:tbl>
      <w:tblPr>
        <w:tblW w:w="4311" w:type="dxa"/>
        <w:jc w:val="left"/>
        <w:tblInd w:w="0" w:type="dxa"/>
        <w:tblCellMar>
          <w:top w:w="28" w:type="dxa"/>
          <w:left w:w="28" w:type="dxa"/>
          <w:bottom w:w="28" w:type="dxa"/>
          <w:right w:w="28" w:type="dxa"/>
        </w:tblCellMar>
      </w:tblPr>
      <w:tblGrid>
        <w:gridCol w:w="477"/>
        <w:gridCol w:w="420"/>
        <w:gridCol w:w="422"/>
        <w:gridCol w:w="233"/>
        <w:gridCol w:w="233"/>
        <w:gridCol w:w="482"/>
        <w:gridCol w:w="205"/>
        <w:gridCol w:w="205"/>
        <w:gridCol w:w="205"/>
        <w:gridCol w:w="233"/>
        <w:gridCol w:w="233"/>
        <w:gridCol w:w="482"/>
        <w:gridCol w:w="109"/>
        <w:gridCol w:w="109"/>
        <w:gridCol w:w="109"/>
        <w:gridCol w:w="154"/>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1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Reported tax rate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jc w:val="both"/>
        <w:rPr/>
      </w:pPr>
      <w:r>
        <w:rPr>
          <w:rFonts w:ascii="Times New Roman;sans-serif" w:hAnsi="Times New Roman;sans-serif"/>
          <w:b w:val="false"/>
          <w:color w:val="000000"/>
          <w:sz w:val="20"/>
        </w:rPr>
        <w:t>The Company’s effective income tax rates for the three months ended March 31, 2023 and 2022 w</w:t>
      </w:r>
      <w:r>
        <w:rPr>
          <w:rFonts w:ascii="Times New Roman;sans-serif" w:hAnsi="Times New Roman;sans-serif"/>
          <w:b w:val="false"/>
          <w:color w:val="000000"/>
          <w:sz w:val="20"/>
          <w:highlight w:val="white"/>
        </w:rPr>
        <w:t>ere 18.6% and 16.3%, respectively. For the three months ended March 31, 2023, the primary driver of the higher tax rate relates to a reduction of excess tax benefits from stock compensation.</w:t>
      </w:r>
    </w:p>
    <w:p>
      <w:pPr>
        <w:pStyle w:val="TextBody"/>
        <w:spacing w:lineRule="auto" w:line="26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Changes to income tax laws and regulations, in any of the tax jurisdictions in which the Company operates, could impact the effective tax rate. Various governments, both U.S. and non-U.S., are increasingly focused on tax reform and revenue-raising legislation. Further, legislation in foreign jurisdictions may be enacted, in response to the base erosion and profit-sharing project begun by the Organization for Economic Cooperation and Development ("OECD"). The OECD recently finalized major reform of the international tax system with respect to a global minimum tax rate. Such changes in U.S. and non-U.S. jurisdictions could have an adverse effect on the Company’s effective tax rate.</w:t>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has not provided deferred income taxes on unrepatriated earnings from foreign subsidiaries as they are deemed to be indefinitely reinvested unless there is a manner under which to remit the earnings with no material tax cost. Material taxes would primarily be attributable to foreign withholding taxes and local income taxes when such earnings are distributed. The Company will repatriate foreign earnings when there is no need for reinvestment overseas and there is no material cost to bring the earnings back to the United States. Reinvestment considerations would include future acquisitions, transactions, and capital expenditure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13. NET INCOME PER SHARE</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was as follows:</w:t>
      </w:r>
    </w:p>
    <w:tbl>
      <w:tblPr>
        <w:tblW w:w="7527" w:type="dxa"/>
        <w:jc w:val="left"/>
        <w:tblInd w:w="0" w:type="dxa"/>
        <w:tblCellMar>
          <w:top w:w="28" w:type="dxa"/>
          <w:left w:w="28" w:type="dxa"/>
          <w:bottom w:w="28" w:type="dxa"/>
          <w:right w:w="28" w:type="dxa"/>
        </w:tblCellMar>
      </w:tblPr>
      <w:tblGrid>
        <w:gridCol w:w="1684"/>
        <w:gridCol w:w="1477"/>
        <w:gridCol w:w="1488"/>
        <w:gridCol w:w="211"/>
        <w:gridCol w:w="695"/>
        <w:gridCol w:w="117"/>
        <w:gridCol w:w="117"/>
        <w:gridCol w:w="117"/>
        <w:gridCol w:w="117"/>
        <w:gridCol w:w="211"/>
        <w:gridCol w:w="695"/>
        <w:gridCol w:w="117"/>
        <w:gridCol w:w="109"/>
        <w:gridCol w:w="109"/>
        <w:gridCol w:w="109"/>
        <w:gridCol w:w="154"/>
      </w:tblGrid>
      <w:tr>
        <w:trPr/>
        <w:tc>
          <w:tcPr>
            <w:tcW w:w="1684" w:type="dxa"/>
            <w:tcBorders/>
            <w:shd w:fill="auto" w:val="clear"/>
            <w:vAlign w:val="center"/>
          </w:tcPr>
          <w:p>
            <w:pPr>
              <w:pStyle w:val="TableContents"/>
              <w:spacing w:before="0" w:after="283"/>
              <w:rPr>
                <w:sz w:val="4"/>
                <w:szCs w:val="4"/>
              </w:rPr>
            </w:pPr>
            <w:r>
              <w:rPr>
                <w:sz w:val="4"/>
                <w:szCs w:val="4"/>
              </w:rPr>
            </w:r>
          </w:p>
        </w:tc>
        <w:tc>
          <w:tcPr>
            <w:tcW w:w="1477" w:type="dxa"/>
            <w:tcBorders/>
            <w:shd w:fill="auto" w:val="clear"/>
            <w:vAlign w:val="center"/>
          </w:tcPr>
          <w:p>
            <w:pPr>
              <w:pStyle w:val="TableContents"/>
              <w:spacing w:before="0" w:after="283"/>
              <w:rPr>
                <w:sz w:val="4"/>
                <w:szCs w:val="4"/>
              </w:rPr>
            </w:pPr>
            <w:r>
              <w:rPr>
                <w:sz w:val="4"/>
                <w:szCs w:val="4"/>
              </w:rPr>
            </w:r>
          </w:p>
        </w:tc>
        <w:tc>
          <w:tcPr>
            <w:tcW w:w="14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6"/>
              </w:rPr>
              <w:t>Dollars in thousands, except per share amounts</w:t>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Basic net income per share:</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81,871 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Diluted net income per share:</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81,871 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and restricted stock</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for diluted earnings per share</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common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pPr>
      <w:r>
        <w:rPr>
          <w:rFonts w:ascii="Times New Roman;sans-serif" w:hAnsi="Times New Roman;sans-serif"/>
          <w:b w:val="false"/>
          <w:color w:val="000000"/>
          <w:sz w:val="20"/>
        </w:rPr>
        <w:t>Common stock of approximately 0.3 million an</w:t>
      </w:r>
      <w:r>
        <w:rPr>
          <w:rFonts w:ascii="Times New Roman;sans-serif" w:hAnsi="Times New Roman;sans-serif"/>
          <w:b w:val="false"/>
          <w:color w:val="000000"/>
          <w:sz w:val="20"/>
          <w:highlight w:val="white"/>
        </w:rPr>
        <w:t>d 0.2 million shares at March 31, 2023, and 2022, res</w:t>
      </w:r>
      <w:r>
        <w:rPr>
          <w:rFonts w:ascii="Times New Roman;sans-serif" w:hAnsi="Times New Roman;sans-serif"/>
          <w:b w:val="false"/>
          <w:color w:val="000000"/>
          <w:sz w:val="20"/>
        </w:rPr>
        <w:t>pectively that are issuable through exercise of dilutive securities were not included in the computation of diluted net income per share because their effect would have been anti-dilutive.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14. ACCUMULATED OTHER COMPREHENSIVE INCOME (LOSS)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Comprehensive income for the three months ended March 31, 2023 and 2022 was as follows:</w:t>
      </w:r>
    </w:p>
    <w:tbl>
      <w:tblPr>
        <w:tblW w:w="7063" w:type="dxa"/>
        <w:jc w:val="left"/>
        <w:tblInd w:w="0" w:type="dxa"/>
        <w:tblCellMar>
          <w:top w:w="28" w:type="dxa"/>
          <w:left w:w="28" w:type="dxa"/>
          <w:bottom w:w="28" w:type="dxa"/>
          <w:right w:w="28" w:type="dxa"/>
        </w:tblCellMar>
      </w:tblPr>
      <w:tblGrid>
        <w:gridCol w:w="1518"/>
        <w:gridCol w:w="1332"/>
        <w:gridCol w:w="1335"/>
        <w:gridCol w:w="211"/>
        <w:gridCol w:w="695"/>
        <w:gridCol w:w="117"/>
        <w:gridCol w:w="117"/>
        <w:gridCol w:w="117"/>
        <w:gridCol w:w="117"/>
        <w:gridCol w:w="211"/>
        <w:gridCol w:w="695"/>
        <w:gridCol w:w="117"/>
        <w:gridCol w:w="109"/>
        <w:gridCol w:w="109"/>
        <w:gridCol w:w="109"/>
        <w:gridCol w:w="154"/>
      </w:tblGrid>
      <w:tr>
        <w:trPr/>
        <w:tc>
          <w:tcPr>
            <w:tcW w:w="1518"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24,226 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(5,683)</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loss/(gain) on derivatives, net of tax</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liability adjustment, net of tax</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57,031 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accumulated other comprehensive income by component between December 31, 2022 and March 31, 2023 are presented in the table below, net of tax:</w:t>
      </w:r>
    </w:p>
    <w:tbl>
      <w:tblPr>
        <w:tblW w:w="10205" w:type="dxa"/>
        <w:jc w:val="left"/>
        <w:tblInd w:w="0" w:type="dxa"/>
        <w:tblCellMar>
          <w:top w:w="28" w:type="dxa"/>
          <w:left w:w="28" w:type="dxa"/>
          <w:bottom w:w="28" w:type="dxa"/>
          <w:right w:w="28" w:type="dxa"/>
        </w:tblCellMar>
      </w:tblPr>
      <w:tblGrid>
        <w:gridCol w:w="1336"/>
        <w:gridCol w:w="1000"/>
        <w:gridCol w:w="1003"/>
        <w:gridCol w:w="109"/>
        <w:gridCol w:w="109"/>
        <w:gridCol w:w="109"/>
        <w:gridCol w:w="341"/>
        <w:gridCol w:w="1124"/>
        <w:gridCol w:w="189"/>
        <w:gridCol w:w="109"/>
        <w:gridCol w:w="109"/>
        <w:gridCol w:w="109"/>
        <w:gridCol w:w="346"/>
        <w:gridCol w:w="982"/>
        <w:gridCol w:w="192"/>
        <w:gridCol w:w="109"/>
        <w:gridCol w:w="109"/>
        <w:gridCol w:w="109"/>
        <w:gridCol w:w="270"/>
        <w:gridCol w:w="963"/>
        <w:gridCol w:w="150"/>
        <w:gridCol w:w="109"/>
        <w:gridCol w:w="109"/>
        <w:gridCol w:w="109"/>
        <w:gridCol w:w="196"/>
        <w:gridCol w:w="646"/>
        <w:gridCol w:w="159"/>
      </w:tblGrid>
      <w:tr>
        <w:trPr/>
        <w:tc>
          <w:tcPr>
            <w:tcW w:w="1336"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3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 and Losses on Derivatives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Items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22,817 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(5,754)</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current-period other comprehensive gain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w:t>
            </w:r>
          </w:p>
        </w:tc>
        <w:tc>
          <w:tcPr>
            <w:tcW w:w="1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9,425 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(17,798)</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reclassified a gain of $4.3 million and a loss of $2.7 million from accumulated other comprehensive income to other income, net and interest income,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15. SEGMENT AND GEOGRAPHIC INFORMATION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Company internally manages two global reportable segments and reports the results of its businesses to its chief operating decision maker. The two reportable segments and their activities are described below.</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40,000 instrument patterns and surgical and lighting products to hospitals, surgery centers, dental, podiatry, and veterinary offices.</w:t>
      </w:r>
    </w:p>
    <w:p>
      <w:pPr>
        <w:pStyle w:val="TextBody"/>
        <w:spacing w:lineRule="auto" w:line="288" w:before="60" w:after="60"/>
        <w:ind w:left="0" w:right="0" w:hanging="360"/>
        <w:jc w:val="both"/>
        <w:rPr/>
      </w:pPr>
      <w:r>
        <w:rPr>
          <w:color w:val="000000"/>
        </w:rPr>
        <w:t>•</w:t>
      </w:r>
      <w:r>
        <w:rPr>
          <w:rFonts w:ascii="Times New Roman;sans-serif" w:hAnsi="Times New Roman;sans-serif"/>
          <w:b w:val="false"/>
          <w:color w:val="000000"/>
          <w:sz w:val="20"/>
        </w:rPr>
        <w:t>The TT segment includes such offerings as skin and wound repair, plastics &amp; surgical reconstruction products, bone grafts, and nerve and tendon repair products.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Corporate and other category includes (i) various executive, finance, human resource, information systems and legal functions, (ii) brand management, and (iii) share-based compensation costs.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2023 and 2022 are as follows:</w:t>
      </w:r>
    </w:p>
    <w:tbl>
      <w:tblPr>
        <w:tblW w:w="4929" w:type="dxa"/>
        <w:jc w:val="left"/>
        <w:tblInd w:w="0" w:type="dxa"/>
        <w:tblCellMar>
          <w:top w:w="28" w:type="dxa"/>
          <w:left w:w="28" w:type="dxa"/>
          <w:bottom w:w="28" w:type="dxa"/>
          <w:right w:w="28" w:type="dxa"/>
        </w:tblCellMar>
      </w:tblPr>
      <w:tblGrid>
        <w:gridCol w:w="740"/>
        <w:gridCol w:w="649"/>
        <w:gridCol w:w="650"/>
        <w:gridCol w:w="196"/>
        <w:gridCol w:w="736"/>
        <w:gridCol w:w="109"/>
        <w:gridCol w:w="109"/>
        <w:gridCol w:w="109"/>
        <w:gridCol w:w="109"/>
        <w:gridCol w:w="196"/>
        <w:gridCol w:w="736"/>
        <w:gridCol w:w="109"/>
        <w:gridCol w:w="109"/>
        <w:gridCol w:w="109"/>
        <w:gridCol w:w="109"/>
        <w:gridCol w:w="154"/>
      </w:tblGrid>
      <w:tr>
        <w:trPr/>
        <w:tc>
          <w:tcPr>
            <w:tcW w:w="740"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Specialty Surgical</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248,136 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Tissue Technologies</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xml:space="preserve">Segment Profit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Specialty Surgical</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Tissue Technologies</w:t>
            </w:r>
            <w:r>
              <w:rPr>
                <w:color w:val="000000"/>
              </w:rPr>
              <w:t xml:space="preserve">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Segment profit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allocate any assets to the reportable segments. No asset information is reported to the chief operating decision maker and disclosed in the financial information for each segment. The Company attributes revenues to geographic areas based on the location of the customer. Total revenue by major geographic area consisted of the following:</w:t>
      </w:r>
    </w:p>
    <w:tbl>
      <w:tblPr>
        <w:tblW w:w="4420" w:type="dxa"/>
        <w:jc w:val="center"/>
        <w:tblInd w:w="0" w:type="dxa"/>
        <w:tblCellMar>
          <w:top w:w="28" w:type="dxa"/>
          <w:left w:w="28" w:type="dxa"/>
          <w:bottom w:w="28" w:type="dxa"/>
          <w:right w:w="28" w:type="dxa"/>
        </w:tblCellMar>
      </w:tblPr>
      <w:tblGrid>
        <w:gridCol w:w="555"/>
        <w:gridCol w:w="487"/>
        <w:gridCol w:w="488"/>
        <w:gridCol w:w="196"/>
        <w:gridCol w:w="736"/>
        <w:gridCol w:w="109"/>
        <w:gridCol w:w="109"/>
        <w:gridCol w:w="109"/>
        <w:gridCol w:w="109"/>
        <w:gridCol w:w="196"/>
        <w:gridCol w:w="736"/>
        <w:gridCol w:w="109"/>
        <w:gridCol w:w="109"/>
        <w:gridCol w:w="109"/>
        <w:gridCol w:w="109"/>
        <w:gridCol w:w="154"/>
      </w:tblGrid>
      <w:tr>
        <w:trPr/>
        <w:tc>
          <w:tcPr>
            <w:tcW w:w="55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Contingent Consideration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contingent consideration during the three month period ended March 31, 2023 and March 31, 2022 to reflect the change in estimate, additions, payments, transfers and the time value of money during the period.</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opening balances to the closing balances of these Level 3 measurements for the three months ended March 31, 2023 and March 31, 2022 is as follows (in thousands):</w:t>
      </w:r>
    </w:p>
    <w:tbl>
      <w:tblPr>
        <w:tblW w:w="11553" w:type="dxa"/>
        <w:jc w:val="center"/>
        <w:tblInd w:w="0" w:type="dxa"/>
        <w:tblCellMar>
          <w:top w:w="28" w:type="dxa"/>
          <w:left w:w="28" w:type="dxa"/>
          <w:bottom w:w="28" w:type="dxa"/>
          <w:right w:w="28" w:type="dxa"/>
        </w:tblCellMar>
      </w:tblPr>
      <w:tblGrid>
        <w:gridCol w:w="644"/>
        <w:gridCol w:w="210"/>
        <w:gridCol w:w="212"/>
        <w:gridCol w:w="109"/>
        <w:gridCol w:w="109"/>
        <w:gridCol w:w="109"/>
        <w:gridCol w:w="208"/>
        <w:gridCol w:w="591"/>
        <w:gridCol w:w="117"/>
        <w:gridCol w:w="109"/>
        <w:gridCol w:w="109"/>
        <w:gridCol w:w="109"/>
        <w:gridCol w:w="196"/>
        <w:gridCol w:w="646"/>
        <w:gridCol w:w="109"/>
        <w:gridCol w:w="109"/>
        <w:gridCol w:w="109"/>
        <w:gridCol w:w="109"/>
        <w:gridCol w:w="405"/>
        <w:gridCol w:w="300"/>
        <w:gridCol w:w="301"/>
        <w:gridCol w:w="109"/>
        <w:gridCol w:w="109"/>
        <w:gridCol w:w="109"/>
        <w:gridCol w:w="332"/>
        <w:gridCol w:w="445"/>
        <w:gridCol w:w="109"/>
        <w:gridCol w:w="109"/>
        <w:gridCol w:w="109"/>
        <w:gridCol w:w="109"/>
        <w:gridCol w:w="109"/>
        <w:gridCol w:w="109"/>
        <w:gridCol w:w="201"/>
        <w:gridCol w:w="572"/>
        <w:gridCol w:w="113"/>
        <w:gridCol w:w="109"/>
        <w:gridCol w:w="109"/>
        <w:gridCol w:w="109"/>
        <w:gridCol w:w="322"/>
        <w:gridCol w:w="485"/>
        <w:gridCol w:w="109"/>
        <w:gridCol w:w="109"/>
        <w:gridCol w:w="109"/>
        <w:gridCol w:w="109"/>
        <w:gridCol w:w="196"/>
        <w:gridCol w:w="646"/>
        <w:gridCol w:w="109"/>
        <w:gridCol w:w="109"/>
        <w:gridCol w:w="109"/>
        <w:gridCol w:w="109"/>
        <w:gridCol w:w="472"/>
        <w:gridCol w:w="277"/>
        <w:gridCol w:w="392"/>
      </w:tblGrid>
      <w:tr>
        <w:trPr/>
        <w:tc>
          <w:tcPr>
            <w:tcW w:w="64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10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4" w:type="dxa"/>
            <w:gridSpan w:val="3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Consideration Liability Related to Acquisition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6"/>
            <w:tcBorders/>
            <w:shd w:fill="auto" w:val="clear"/>
          </w:tcPr>
          <w:p>
            <w:pPr>
              <w:pStyle w:val="TableContents"/>
              <w:spacing w:before="0" w:after="283"/>
              <w:rPr>
                <w:sz w:val="4"/>
                <w:szCs w:val="4"/>
              </w:rPr>
            </w:pPr>
            <w:r>
              <w:rPr>
                <w:sz w:val="4"/>
                <w:szCs w:val="4"/>
              </w:rPr>
            </w:r>
          </w:p>
        </w:tc>
      </w:tr>
      <w:tr>
        <w:trPr/>
        <w:tc>
          <w:tcPr>
            <w:tcW w:w="10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Arkis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Derma Sciences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Surgical Innovations Associates, Inc. (FN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Financial Statements</w:t>
            </w:r>
          </w:p>
        </w:tc>
      </w:tr>
      <w:tr>
        <w:trPr/>
        <w:tc>
          <w:tcPr>
            <w:tcW w:w="10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 in fair value of contingent consideration liabilities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r>
      <w:tr>
        <w:trPr/>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55"/>
        <w:gridCol w:w="224"/>
        <w:gridCol w:w="226"/>
        <w:gridCol w:w="109"/>
        <w:gridCol w:w="109"/>
        <w:gridCol w:w="109"/>
        <w:gridCol w:w="208"/>
        <w:gridCol w:w="591"/>
        <w:gridCol w:w="117"/>
        <w:gridCol w:w="109"/>
        <w:gridCol w:w="109"/>
        <w:gridCol w:w="109"/>
        <w:gridCol w:w="196"/>
        <w:gridCol w:w="646"/>
        <w:gridCol w:w="109"/>
        <w:gridCol w:w="109"/>
        <w:gridCol w:w="109"/>
        <w:gridCol w:w="109"/>
        <w:gridCol w:w="109"/>
        <w:gridCol w:w="109"/>
        <w:gridCol w:w="410"/>
        <w:gridCol w:w="306"/>
        <w:gridCol w:w="307"/>
        <w:gridCol w:w="109"/>
        <w:gridCol w:w="109"/>
        <w:gridCol w:w="109"/>
        <w:gridCol w:w="332"/>
        <w:gridCol w:w="448"/>
        <w:gridCol w:w="109"/>
        <w:gridCol w:w="109"/>
        <w:gridCol w:w="109"/>
        <w:gridCol w:w="109"/>
        <w:gridCol w:w="208"/>
        <w:gridCol w:w="591"/>
        <w:gridCol w:w="117"/>
        <w:gridCol w:w="109"/>
        <w:gridCol w:w="109"/>
        <w:gridCol w:w="109"/>
        <w:gridCol w:w="196"/>
        <w:gridCol w:w="646"/>
        <w:gridCol w:w="109"/>
        <w:gridCol w:w="109"/>
        <w:gridCol w:w="475"/>
        <w:gridCol w:w="283"/>
        <w:gridCol w:w="407"/>
      </w:tblGrid>
      <w:tr>
        <w:trPr/>
        <w:tc>
          <w:tcPr>
            <w:tcW w:w="6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r>
      <w:tr>
        <w:trPr/>
        <w:tc>
          <w:tcPr>
            <w:tcW w:w="110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1" w:type="dxa"/>
            <w:gridSpan w:val="2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Consideration Liability Related to Acquisition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7"/>
            <w:tcBorders/>
            <w:shd w:fill="auto" w:val="clear"/>
          </w:tcPr>
          <w:p>
            <w:pPr>
              <w:pStyle w:val="TableContents"/>
              <w:spacing w:before="0" w:after="283"/>
              <w:rPr>
                <w:sz w:val="4"/>
                <w:szCs w:val="4"/>
              </w:rPr>
            </w:pPr>
            <w:r>
              <w:rPr>
                <w:sz w:val="4"/>
                <w:szCs w:val="4"/>
              </w:rPr>
            </w:r>
          </w:p>
        </w:tc>
      </w:tr>
      <w:tr>
        <w:trPr/>
        <w:tc>
          <w:tcPr>
            <w:tcW w:w="110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Arkis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Financial Statements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Derma Sciences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ACell Inc.</w:t>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Financial Statements</w:t>
            </w:r>
          </w:p>
        </w:tc>
      </w:tr>
      <w:tr>
        <w:trPr/>
        <w:tc>
          <w:tcPr>
            <w:tcW w:w="11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Long-term</w:t>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r>
      <w:tr>
        <w:trPr/>
        <w:tc>
          <w:tcPr>
            <w:tcW w:w="11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5"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UNAUDITED CONDENSED CONSOLIDATED FINANCIAL STATEMENTS (UNAUDITED) (continued) </w:t>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Arkis BioSciences Inc.</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The estimated fair value as of March 31, 2023 and March 31, 2022 was $16.2 million and $14.0 million, respectively. The Company recorded $11.8 million and $10.3 million in other liabilities at March 31, 2023 and March 31, 2022, respectively, and $4.4 million and $3.8 million in accrued expenses and other current liabilities at March 31, 2023 and March 31, 2022, respectively, in the consolidated balance sheet of the Company.</w:t>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Derma Sciences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assumed contingent consideration incurred by Derma Sciences, Inc. ("Derma Sciences") related to its acquisitions of BioD and the intellectual property related to Medihoney products. The Company accounted for the contingent liabilities by recording their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The estimated fair value as of March 31, 2023 and March 31, 2022 was $0.2 million. </w:t>
      </w:r>
    </w:p>
    <w:p>
      <w:pPr>
        <w:pStyle w:val="TextBody"/>
        <w:spacing w:before="120" w:after="120"/>
        <w:jc w:val="both"/>
        <w:rPr/>
      </w:pPr>
      <w:r>
        <w:rPr/>
      </w:r>
    </w:p>
    <w:p>
      <w:pPr>
        <w:pStyle w:val="TextBody"/>
        <w:spacing w:lineRule="auto" w:line="288" w:before="120" w:after="12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ACell Inc.</w:t>
      </w:r>
    </w:p>
    <w:p>
      <w:pPr>
        <w:pStyle w:val="TextBody"/>
        <w:spacing w:lineRule="auto" w:line="288" w:before="120" w:after="120"/>
        <w:jc w:val="both"/>
        <w:rPr/>
      </w:pPr>
      <w:r>
        <w:rPr>
          <w:rFonts w:ascii="Times New Roman;sans-serif" w:hAnsi="Times New Roman;sans-serif"/>
          <w:b w:val="false"/>
          <w:color w:val="000000"/>
          <w:sz w:val="20"/>
          <w:highlight w:val="white"/>
        </w:rPr>
        <w:t xml:space="preserve">As part of the ACell Acquisition, the Company is required to make payments to the former shareholders of ACell up to $100 million based on the achievement by the Company of certain revenue-based performance milestones in 2023 and 2025. The Company used iterations of the Monte Carlo simulation to calculate the fair value of the contingent consideration that considered the possible outcomes of scenarios related to each specific milestone. The Company estimated the fair value of the contingent consideration to be $23.9 million at the acquisition date. The estimated fair value as of March 31, 2023 was </w:t>
      </w:r>
      <w:r>
        <w:rPr>
          <w:rFonts w:ascii="Times New Roman;sans-serif" w:hAnsi="Times New Roman;sans-serif"/>
          <w:b w:val="false"/>
          <w:color w:val="000000"/>
          <w:sz w:val="20"/>
        </w:rPr>
        <w:t>$1.5 million</w:t>
      </w:r>
      <w:r>
        <w:rPr>
          <w:rFonts w:ascii="Times New Roman;sans-serif" w:hAnsi="Times New Roman;sans-serif"/>
          <w:b w:val="false"/>
          <w:color w:val="000000"/>
          <w:sz w:val="20"/>
          <w:highlight w:val="white"/>
        </w:rPr>
        <w:t xml:space="preserve">. The Company recorded </w:t>
      </w:r>
      <w:r>
        <w:rPr>
          <w:rFonts w:ascii="Times New Roman;sans-serif" w:hAnsi="Times New Roman;sans-serif"/>
          <w:b w:val="false"/>
          <w:color w:val="000000"/>
          <w:sz w:val="20"/>
        </w:rPr>
        <w:t xml:space="preserve">$1.5 million </w:t>
      </w:r>
      <w:r>
        <w:rPr>
          <w:rFonts w:ascii="Times New Roman;sans-serif" w:hAnsi="Times New Roman;sans-serif"/>
          <w:b w:val="false"/>
          <w:color w:val="000000"/>
          <w:sz w:val="20"/>
          <w:highlight w:val="white"/>
        </w:rPr>
        <w:t xml:space="preserve">and </w:t>
      </w:r>
      <w:r>
        <w:rPr>
          <w:rFonts w:ascii="Times New Roman;sans-serif" w:hAnsi="Times New Roman;sans-serif"/>
          <w:b w:val="false"/>
          <w:color w:val="000000"/>
          <w:sz w:val="20"/>
        </w:rPr>
        <w:t xml:space="preserve">$17.2 million </w:t>
      </w:r>
      <w:r>
        <w:rPr>
          <w:rFonts w:ascii="Times New Roman;sans-serif" w:hAnsi="Times New Roman;sans-serif"/>
          <w:b w:val="false"/>
          <w:color w:val="000000"/>
          <w:sz w:val="20"/>
          <w:highlight w:val="white"/>
        </w:rPr>
        <w:t xml:space="preserve">in other liabilities at March 31, 2023 and March 31, 2022, respectively, </w:t>
      </w:r>
      <w:r>
        <w:rPr>
          <w:rFonts w:ascii="Times New Roman;sans-serif" w:hAnsi="Times New Roman;sans-serif"/>
          <w:b w:val="false"/>
          <w:color w:val="000000"/>
          <w:sz w:val="20"/>
        </w:rPr>
        <w:t>and $4.9 million in accrued expenses and other current liabilities at March 31, 2022</w:t>
      </w:r>
      <w:r>
        <w:rPr>
          <w:color w:val="000000"/>
          <w:highlight w:val="white"/>
        </w:rPr>
        <w:t xml:space="preserve"> </w:t>
      </w:r>
      <w:r>
        <w:rPr>
          <w:rFonts w:ascii="Times New Roman;sans-serif" w:hAnsi="Times New Roman;sans-serif"/>
          <w:b w:val="false"/>
          <w:color w:val="000000"/>
          <w:sz w:val="20"/>
          <w:highlight w:val="white"/>
        </w:rPr>
        <w:t>in the consolidated balance sheets of the Company. The change in the fair value of the contingent obligation was primarily as a result of changes in the timing and amount of revenue estimates.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the Company's financial condition and results of operations should be read in conjunction with our condensed consolidated financial statements and the related notes thereto appearing elsewhere in this report and our consolidated financial statements for the year ended December 31, 2022 included in our Annual Report on Form 10-K.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made statements in this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on Form 10-Q (this “Quarterly Report”), including statements regarding our future results of operations and financial position, business strategy and plans, objectives of management for future operations and current expectations or forecasts of future results, are forward-looking statements. 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Our forward-looking statements may include statements related to our growth and growth strategies, developments in the markets for our products and services, financial results, development launches and effectiveness, research and development strategy, regulatory approvals, competitive strengths, the potential or anticipated direct or indirect impact of the Coronavirus pandemic on our business, results of operations, and/or financial condition, restructuring and cost-saving initiatives, intellectual property rights, litigation and tax matters, governmental proceedings and investigations, mergers and acquisitions, divestitures, market acceptance of our products and services, accounting estimates, financing activities, ongoing contractual obligations, working capital adequacy, value of our investments, our effective tax rate, our expected returns to shareholders, and sales efforts.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these forward-looking statements may be identified by forward-looking words such as “believe,” “may,” “might,” “could,” “will,” “estimate,” “continue,” “anticipate,” “intend,” “seek,” “plan,” “expect,” “should,” “would” and similar words and expressions in this report. Forward-looking statements in this Quarterly Report include, but are not limited to, statements regarding our ability to drive long-term shareholder value, development and future launches of products and continued or future acceptance of products and services in our segments; our ability to navigate and mitigate any on-going or future impact associated with economic disruptions, including supply chain constraints and inflation; expected timing for completion of research studies relating to our products; market positioning and performance of our products; divestitures and the potential benefits thereof; the costs and benefits of integrating previous acquisitions; anticipated timing for Food and Drug Administration (“FDA”) in the U.S., as well as for non-U.S. regulatory approval of new products; increased presence in new markets, including markets outside the U.S.; changes in the market and our market share; acquisitions and investment initiatives, including the timing of regulatory approvals as well as integration of acquired companies into our operations; the resolution of tax matters; the effectiveness of our development activities in reducing patient care costs and hospital stay lengths; our approach towards cost containment; our expectations regarding healthcare costs; general economic conditions; and the potential impact of our compliance with governmental regulations and accounting guidance.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are subject to a number of risks, uncertainties and assumptions described in the “Risk Factors” section and elsewhere in our Annual Report on Form 10-K for the year ended December 31, 2022. As forward-looking statements are inherently subject to risks and uncertainties, some of which cannot be predicted or quantified, you should not rely on these forward-looking statements as predictions of future events. One must carefully consider forward-looking statements and understand that such forward-looking statements are inherently subject to risks and uncertainties, some of which cannot be predicted or quantified, and involve a variety of risks and uncertainties, known and unknown, including, among others, those discussed in the sections entitled “Government Regulation” within “Item 1. Business” and “Item 1A. Risk Factors” in our Annual Report on Form 10-K for the year ended December 31, 2022. We undertake no obligation to publicly update or revise any forward-looking statements, whether as a result of new information, future events or otherwise, except to the extent required by applicable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Integra, headquartered in Princeton, New Jersey, is a world leader in neurosurgical solutions and regenerative tissue technologies. The Company was founded in 1989 with the acquisition of an engineered collagen technology platform used to repair and regenerate tissue. Integra has developed numerous product lines from this technology for applications ranging from burn and deep tissue wounds to the repair of dura mater in the brain, as well as nerves and tendons. We have expanded our base regenerative technology business to include surgical instruments, neurosurgical products and advanced wound care through global acquisitions and product development to meet the evolving needs of its customers and enhance patient care. Integra LifeSciences Holdings Corporation common stock trades on the Nasdaq Global Select Market (“Nasdaq”) under the symbol “IART.”</w:t>
      </w:r>
    </w:p>
    <w:p>
      <w:pPr>
        <w:pStyle w:val="TextBody"/>
        <w:spacing w:lineRule="auto" w:line="288" w:before="1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manufacture and sell medical technologies and products in two reportable business segments: Codman Specialty Surgical ("CSS") and Tissue Technologies ("TT"). The CSS segment, which represents approximately two-thirds of our total revenue, consists of market-leading technologies and instrumentation used for a wide range of specialties, such as neurosurgery, neurocritical care and otolaryngology. We are the world leader in neurosurgery and one of the top three providers in instruments used in precision, specialty, and general surgical procedures. Our TT segment generates about one-third of our overall revenue and focuses on three main areas: complex wound surgery, surgical reconstruction, and peripheral nerve repair.</w:t>
      </w:r>
    </w:p>
    <w:p>
      <w:pPr>
        <w:pStyle w:val="TextBody"/>
        <w:spacing w:lineRule="auto" w:line="288" w:before="100" w:after="120"/>
        <w:jc w:val="both"/>
        <w:rPr/>
      </w:pPr>
      <w:r>
        <w:rPr>
          <w:rFonts w:ascii="Times New Roman;sans-serif" w:hAnsi="Times New Roman;sans-serif"/>
          <w:b w:val="false"/>
          <w:color w:val="000000"/>
          <w:sz w:val="20"/>
        </w:rPr>
        <w:t xml:space="preserve">We have key manufacturing and research facilities located in California, Indiana, Maryland, Massachusetts, New Jersey, Ohio, Puerto Rico, Tennessee, Utah, France, Germany, Ireland and Switzerland. </w:t>
      </w:r>
      <w:r>
        <w:rPr>
          <w:rFonts w:ascii="Times New Roman;sans-serif" w:hAnsi="Times New Roman;sans-serif"/>
          <w:b w:val="false"/>
          <w:color w:val="000000"/>
          <w:sz w:val="20"/>
          <w:highlight w:val="white"/>
        </w:rPr>
        <w:t>We source most of our handheld surgical instruments and sealant products through specialized third-party vendors.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Integra is committed to restoring patients’ lives through transformative technologies and products in the segments in which we compete. Our mission is to innovate treatment pathways to advance patient outcomes and set new standards of care. We refocused our strategies around five pillars, specifically three core growth drivers -- innovating for outcomes, growing internationally, broadening our impact on care pathways – enabled by two key levers: driving operational and customer excellence and cultivating a high-performance culture. These five pillars drive how and where we aim to accelerate in 2023 and in the coming years.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Innovating for Outcomes.</w:t>
      </w:r>
      <w:r>
        <w:rPr>
          <w:color w:val="000000"/>
        </w:rPr>
        <w:t xml:space="preserve"> </w:t>
      </w:r>
      <w:r>
        <w:rPr>
          <w:rFonts w:ascii="Times New Roman;sans-serif" w:hAnsi="Times New Roman;sans-serif"/>
          <w:b w:val="false"/>
          <w:color w:val="000000"/>
          <w:sz w:val="20"/>
        </w:rPr>
        <w:t>An important part of Integra’s growth strategy is introducing new products to strengthen and expand our portfolio. Additionally, we seek clinical evidence to support regulatory approval and strong reimbursement of our product portfolio around the world, including new indications for existing technologies. On December 6, 2022, we completed the acquisition of Surgical Innovation Associates, Inc.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implant-based breast reconstruction ("IBBR"). We also continued to advance the development of pioneering neurosurgical technologies with the expansion of our product offerings. In early 2023, the CUSA® Clarity Bone Tip was launched in U.S., which is used when controlled fragmentation, emulsification and aspiration of bone is necessary. This follows the CUSA® Clarity extended laparoscopic tip, launched in the U.S. in late 2022 to enhance the benefits of ultrasonic ablation to minimally invasive laparoscopic liver surgery.</w:t>
      </w:r>
      <w:r>
        <w:rPr>
          <w:color w:val="000000"/>
        </w:rPr>
        <w:t xml:space="preserve"> </w:t>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Growing International.</w:t>
      </w:r>
      <w:r>
        <w:rPr>
          <w:color w:val="000000"/>
        </w:rPr>
        <w:t xml:space="preserve"> </w:t>
      </w:r>
      <w:r>
        <w:rPr>
          <w:rFonts w:ascii="Times New Roman;sans-serif" w:hAnsi="Times New Roman;sans-serif"/>
          <w:b w:val="false"/>
          <w:color w:val="000000"/>
          <w:sz w:val="20"/>
        </w:rPr>
        <w:t xml:space="preserve">Over the years, we have been significantly expanding our global footprint through investments in our commercial organization, expansion and development of international markets and new product introductions. Several new products were introduced in 2023, including MicroMatrix® and Certas Plus® Programmable Valve which were launched in Europe, and CUSA Clarity Laparoscopic ("Lap") tip which was launched in Australia and New Zealand.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Broadening Impact on Care Pathways.</w:t>
      </w:r>
      <w:r>
        <w:rPr>
          <w:color w:val="000000"/>
        </w:rPr>
        <w:t xml:space="preserve"> </w:t>
      </w:r>
      <w:r>
        <w:rPr>
          <w:rFonts w:ascii="Times New Roman;sans-serif" w:hAnsi="Times New Roman;sans-serif"/>
          <w:b w:val="false"/>
          <w:color w:val="000000"/>
          <w:sz w:val="20"/>
        </w:rPr>
        <w:t xml:space="preserve">Integra seeks ways to develop products and technologies that impact the lives of patients, starting with the journey that a patient takes from diagnosis and treatment planning to surgery and postoperative care. Integra is well-established in acute care in the hospital setting and plans to leverage that strong position to grow in this segment and shape treatment pathways into preoperative care and additional sites of care.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Driving Operations and Customer Excellence.</w:t>
      </w:r>
      <w:r>
        <w:rPr>
          <w:color w:val="000000"/>
        </w:rPr>
        <w:t xml:space="preserve"> </w:t>
      </w:r>
      <w:r>
        <w:rPr>
          <w:rFonts w:ascii="Times New Roman;sans-serif" w:hAnsi="Times New Roman;sans-serif"/>
          <w:b w:val="false"/>
          <w:color w:val="000000"/>
          <w:sz w:val="20"/>
        </w:rPr>
        <w:t xml:space="preserve">Integra has been making investments to build more responsive and scalable processes, enhance the reliability of our supply chain, and drive productivity initiatives to further supply and lower costs. Additionally, we continue to invest in technologies, systems and processes to enhance the customer experience. In 2022, certain transactional back-office finance and customer service activities were outsourced to enhance customer quality, build scale for future growth, and capture cost efficiencies. </w:t>
      </w:r>
    </w:p>
    <w:p>
      <w:pPr>
        <w:pStyle w:val="TextBody"/>
        <w:spacing w:before="0" w:after="0"/>
        <w:jc w:val="both"/>
        <w:rPr/>
      </w:pPr>
      <w:r>
        <w:rPr/>
      </w:r>
    </w:p>
    <w:p>
      <w:pPr>
        <w:pStyle w:val="TextBody"/>
        <w:spacing w:lineRule="auto" w:line="276" w:before="0" w:after="0"/>
        <w:rPr/>
      </w:pPr>
      <w:r>
        <w:rPr>
          <w:rFonts w:ascii="Times New Roman;sans-serif" w:hAnsi="Times New Roman;sans-serif"/>
          <w:b w:val="false"/>
          <w:i/>
          <w:color w:val="000000"/>
          <w:sz w:val="20"/>
        </w:rPr>
        <w:t>Cultivating a High-Performance Culture.</w:t>
      </w:r>
      <w:r>
        <w:rPr>
          <w:color w:val="000000"/>
        </w:rPr>
        <w:t xml:space="preserve"> </w:t>
      </w:r>
      <w:r>
        <w:rPr>
          <w:rFonts w:ascii="Times New Roman;sans-serif" w:hAnsi="Times New Roman;sans-serif"/>
          <w:b w:val="false"/>
          <w:color w:val="000000"/>
          <w:sz w:val="20"/>
        </w:rPr>
        <w:t xml:space="preserve">Creating a culture focused on empowerment and agility and building a diverse and inclusive workplace are cornerstones of our people strategy. These efforts resulted in Integra being named in several best workplace lists globally in 2022. Most recently, Integra China was recognized as a Great Place to Work in Greater China.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Additionally, we have been making great strides in advancing our environmental, social and governance ("ESG") agenda to drive sustainability across the organization and recently published our first ESG report in late 2022.</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Clinical and Product Development Activities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Integra continues to invest in collecting clinical evidence to support our existing products and new product launches, and to ensure that we obtain market access for broader and more cost-effective solutions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2022, we made progress to several enhancements to our CUSA Clarity Tissue Ablation System. The extended laparoscopic tip was launched in the U.S. to enhance laparoscopic liver procedures. In addition, a single-sided bone tip received 510(k) clearance. In early 2023, we had our commercial launch with initial surgeries successfully completed. We continue to update our CUSA Clarity platform by incorporating new ultrasonic handpiece and integrated electrosurgical capabilities.</w:t>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2022, we continued to advance the early-stage technology platforms we acquired in 2019. Through the acquisition of Arkis Biosciences, Inc. ("Arkis") we added a platform technology, CerebroFlo® external ventricular drainage ("EVD"), catheter with Endexo® technology, a permanent additive designed to reduce the potential for catheter obstruction due to thrombus formation. The CerebroFlo EVD Catheter has demonstrated an average of 99% less thrombus accumulation onto its surface, in vitro, compared to a market leading EVD catheter. Our work to combine our bactiseal antimicrobial technology with the Endexo anti-occlusive technology obtained through our 2019 acquisition of Arkis continues to progress for both a silicone-based hydrocephalus and EVD project. </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2019, we also acquired Rebound Therapeutics Corporation ("Rebound Therapeutics"), a company that specialized in single-use medical device, known as Aurora Surgiscope, which is the only tubular retractor system designed for cranial surgery with an integrated access channel, camera and lighting. In the third quarter of 2021, we conducted a limited clinical launch of the Aurora Surgiscope for use in minimally invasive neurosurgery as well as initiated a registry called MIRROR to collect data on early surgical intervention using this same technology platform for the treatment of ICH. In 2022, we launched the Aurora® Evacuator with Coagulation device in the U.S., designed to be used in conjunction with our Aurora Surgiscope to safely address and evacuate blood in the brain caused by hemorrhagic stroke. </w:t>
      </w:r>
    </w:p>
    <w:p>
      <w:pPr>
        <w:pStyle w:val="TextBody"/>
        <w:spacing w:lineRule="auto" w:line="288" w:before="120"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We are focused on the development of core clinical applications in our electromechanical technologies portfolio. In June 2022, we launched the Neutus® EVD system, our first EVD in China. The Neutus EVD system is manufactured in China by Shanghai Haoju Medical Technology Co., Ltd. under an exclusive distribution arrangement. The device is used in the management of CSF and is highly complementary to our Bactiseal® catheter and advanced intercranial pressure monitoring products. In 2021, we launched our CereLink ICP Monitor System in the U.S. and Europe direct markets and continued the global rollout in the first half of 2022. CereLink provides enhanced accuracy, usability and advanced data presentation that provides clinicians with uncompromised, advanced continuous ICP monitoring that until now, has not been available when treating patients with traumatic brain injuries. Refer below to the information appearing in the "FDA Matters" section for additional information on the voluntary recall of the CereLink ICP Monitor System. </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Within our TT segment, in 2022, we launched NeuraGen 3D Nerve Guide Matrix, a resorbable implant for repair of peripheral nerve discontinuities and engineered to create an optimized environment for nerve regeneration. In the third quarter of 2021, we filed the PMA application for a specific indication for SurgiMend in the use of post-mastectomy breast reconstruction, for which we hope to obtain FDA approval in 2024. On December 6, 2022, we completed the acquisition of SIA, which develops, markets and sells DuraSorb®, a resorbable synthetic matrix for plastic and reconstructive surgery. This acquisition advances our global strategy in breast reconstruction, expanding plans to access the U.S. market where SIA is pursuing pre-market approval for use in IBBR. </w:t>
      </w:r>
    </w:p>
    <w:p>
      <w:pPr>
        <w:pStyle w:val="TextBody"/>
        <w:spacing w:before="120" w:after="120"/>
        <w:jc w:val="both"/>
        <w:rPr/>
      </w:pPr>
      <w:r>
        <w:rPr/>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FDA Matters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18, 2022, we, after consultation with the FDA and other regulatory authorities outside of the United States, initiated an immediate voluntary global product removal of all CereLink intracranial pressure monitors as a result of customer reports about monitors whose pressure readings were out of range. We believe that the out-of-range readings are principally caused by electrical interference from the external environment and/or interference from a component on the circuit board of the monitor. These out-of-range readings have occurred at a low incidence rate and at a limited number of sites; however, out of an abundance of caution, we removed all CereLink monitors from the field.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We are continuing our investigation into the matter in order to remedy the observed issue and plans to resume shipment of the CereLink monitors as soon as any such issues have been resolved and required regulatory reviews have been completed. Based on the outlook for returning the product to market and feedback from customers, we recorded a $1.9 million provision for product returns, as a reduction of net revenue, and a $0.8 million rework accrual in cost of goods sold in 2022. In the first quarter of 2023 we recorded an additional $0.8M in provision for product returns as a reduction of net revenue, and no additional rework costs</w:t>
      </w:r>
      <w:r>
        <w:rPr>
          <w:rFonts w:ascii="Times New Roman;sans-serif" w:hAnsi="Times New Roman;sans-serif"/>
          <w:b w:val="false"/>
          <w:color w:val="000000"/>
          <w:sz w:val="24"/>
        </w:rPr>
        <w:t>.</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March 7, 2019, TEI Biosciences, Inc. ("TEI"), one of our wholly-owned subsidiaries , received a Warning Letter (the “Warning Letter”), dated March 6, 2019, from the FDA. The warning letter related to quality systems issues at TEI's manufacturing facility located in Boston, Massachusetts. The letter resulted from an inspection held at that facility in October and November 2018 and did not identify any new observations that were not already provided in the Form 483 that followed the inspection. We submitted our initial response to the FDA Warning Letter on March 28, 2019 and provide regular progress reports to the FDA as to its corrective actions and, since the conclusion of the inspection, we have undertaken significant efforts to remediate the observations and continue to do so. On October 28, 2021 the FDA initiated an inspection of the facility and at the conclusion of the inspection issued a FDA Form 483 on November 12, 2021 (the "2021 Form 483"). We provided an initial response to the inspection observations and will continue to provide responses to the FDA. On March 1, 2023, the FDA commenced an inspection of the facility, and we anticipate that the FDA will issue an FDA Form 483 at the conclusion of this inspection. The Warning Letter and the 2021 FDA Form 483 do not restrict our ability to manufacture or ship products or require the recall of any products, nor do they restrict our ability to seek FDA 510(k) clearance of products. Additionally, premarket approval applications for Class III devices to which the Quality System regulation violations are reasonably related will not be approved until the violations have been corrected. The TEI Boston facility manufactures extracellular bovine matrix products. We cannot give any assurances that the FDA will be satisfied with our response to the Warning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of products manufactured in the TEI Boston facility for the three months ended March 31, 2023 were approximately 4.4% of consolidated revenues. </w:t>
      </w:r>
    </w:p>
    <w:p>
      <w:pPr>
        <w:pStyle w:val="TextBody"/>
        <w:spacing w:before="120" w:after="120"/>
        <w:jc w:val="both"/>
        <w:rPr/>
      </w:pPr>
      <w:r>
        <w:rPr/>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OPTIMIZATION AND INTEGRATION ACTIVITIES</w:t>
      </w:r>
    </w:p>
    <w:p>
      <w:pPr>
        <w:pStyle w:val="TextBody"/>
        <w:spacing w:lineRule="auto" w:line="288" w:before="120" w:after="120"/>
        <w:jc w:val="both"/>
        <w:rPr/>
      </w:pPr>
      <w:r>
        <w:rPr>
          <w:rFonts w:ascii="Times New Roman;sans-serif" w:hAnsi="Times New Roman;sans-serif"/>
          <w:b w:val="false"/>
          <w:color w:val="000000"/>
          <w:sz w:val="20"/>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 In support of our continued focus on product margins during 2022, we closed a manufacturing facility located in France and transferred production to our existing Switzerland facility</w:t>
      </w:r>
      <w:r>
        <w:rPr>
          <w:rFonts w:ascii="Times New Roman;sans-serif" w:hAnsi="Times New Roman;sans-serif"/>
          <w:b w:val="false"/>
          <w:color w:val="000000"/>
          <w:sz w:val="20"/>
          <w:highlight w:val="white"/>
        </w:rPr>
        <w:t xml:space="preserve">. In 2022, we outsourced certain transactional back-office finance and customer service activities to enhance customer quality, build scale for future growth, and capture cost efficiencies.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Executive Summary</w:t>
      </w:r>
    </w:p>
    <w:p>
      <w:pPr>
        <w:pStyle w:val="TextBody"/>
        <w:spacing w:lineRule="auto" w:line="268" w:before="0" w:after="0"/>
        <w:jc w:val="both"/>
        <w:rPr/>
      </w:pPr>
      <w:r>
        <w:rPr>
          <w:rFonts w:ascii="Times New Roman;sans-serif" w:hAnsi="Times New Roman;sans-serif"/>
          <w:b w:val="false"/>
          <w:color w:val="000000"/>
          <w:sz w:val="20"/>
          <w:highlight w:val="white"/>
        </w:rPr>
        <w:t xml:space="preserve">Net income for the three months ended March 31, 2023 was $24.2 million, or $0.29 per diluted share, as compared to $32.9 million or $0.39 per diluted share for the three months ended March 31, 2022. </w:t>
      </w:r>
      <w:r>
        <w:rPr>
          <w:rFonts w:ascii="Times New Roman;sans-serif" w:hAnsi="Times New Roman;sans-serif"/>
          <w:b w:val="false"/>
          <w:color w:val="000000"/>
          <w:sz w:val="20"/>
        </w:rPr>
        <w:t>The decrease in net income for the three months ended March 31, 2023, was primarily driven by impacts from the SIA acquisition, including additional amortization, research and development, and other costs.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Special Charges</w:t>
      </w:r>
    </w:p>
    <w:p>
      <w:pPr>
        <w:pStyle w:val="TextBody"/>
        <w:spacing w:lineRule="auto" w:line="288" w:before="120" w:after="120"/>
        <w:rPr/>
      </w:pPr>
      <w:r>
        <w:rPr>
          <w:rFonts w:ascii="Times New Roman;sans-serif" w:hAnsi="Times New Roman;sans-serif"/>
          <w:b w:val="false"/>
          <w:color w:val="000000"/>
          <w:sz w:val="20"/>
        </w:rPr>
        <w:t xml:space="preserve">Income before taxes includes the following </w:t>
      </w:r>
      <w:r>
        <w:rPr>
          <w:rFonts w:ascii="Times New Roman;sans-serif" w:hAnsi="Times New Roman;sans-serif"/>
          <w:b w:val="false"/>
          <w:color w:val="000000"/>
          <w:sz w:val="20"/>
          <w:highlight w:val="white"/>
        </w:rPr>
        <w:t>special charges</w:t>
      </w:r>
      <w:r>
        <w:rPr>
          <w:rFonts w:ascii="Times New Roman;sans-serif" w:hAnsi="Times New Roman;sans-serif"/>
          <w:b/>
          <w:color w:val="000000"/>
          <w:sz w:val="20"/>
          <w:highlight w:val="white"/>
        </w:rPr>
        <w:t>:</w:t>
      </w:r>
    </w:p>
    <w:tbl>
      <w:tblPr>
        <w:tblW w:w="6853" w:type="dxa"/>
        <w:jc w:val="left"/>
        <w:tblInd w:w="0" w:type="dxa"/>
        <w:tblCellMar>
          <w:top w:w="28" w:type="dxa"/>
          <w:left w:w="28" w:type="dxa"/>
          <w:bottom w:w="28" w:type="dxa"/>
          <w:right w:w="28" w:type="dxa"/>
        </w:tblCellMar>
      </w:tblPr>
      <w:tblGrid>
        <w:gridCol w:w="1442"/>
        <w:gridCol w:w="1265"/>
        <w:gridCol w:w="1268"/>
        <w:gridCol w:w="211"/>
        <w:gridCol w:w="695"/>
        <w:gridCol w:w="117"/>
        <w:gridCol w:w="117"/>
        <w:gridCol w:w="117"/>
        <w:gridCol w:w="117"/>
        <w:gridCol w:w="211"/>
        <w:gridCol w:w="695"/>
        <w:gridCol w:w="117"/>
        <w:gridCol w:w="109"/>
        <w:gridCol w:w="109"/>
        <w:gridCol w:w="109"/>
        <w:gridCol w:w="154"/>
      </w:tblGrid>
      <w:tr>
        <w:trPr/>
        <w:tc>
          <w:tcPr>
            <w:tcW w:w="1442"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divestiture and integration-related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Structural optimization charges</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 medical device regulation</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9,513 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items reported above are reflected in the condensed consolidated statements of operations as follows:</w:t>
      </w:r>
    </w:p>
    <w:tbl>
      <w:tblPr>
        <w:tblW w:w="5428" w:type="dxa"/>
        <w:jc w:val="center"/>
        <w:tblInd w:w="0" w:type="dxa"/>
        <w:tblCellMar>
          <w:top w:w="28" w:type="dxa"/>
          <w:left w:w="28" w:type="dxa"/>
          <w:bottom w:w="28" w:type="dxa"/>
          <w:right w:w="28" w:type="dxa"/>
        </w:tblCellMar>
      </w:tblPr>
      <w:tblGrid>
        <w:gridCol w:w="925"/>
        <w:gridCol w:w="812"/>
        <w:gridCol w:w="813"/>
        <w:gridCol w:w="211"/>
        <w:gridCol w:w="695"/>
        <w:gridCol w:w="117"/>
        <w:gridCol w:w="117"/>
        <w:gridCol w:w="117"/>
        <w:gridCol w:w="117"/>
        <w:gridCol w:w="211"/>
        <w:gridCol w:w="695"/>
        <w:gridCol w:w="117"/>
        <w:gridCol w:w="109"/>
        <w:gridCol w:w="109"/>
        <w:gridCol w:w="109"/>
        <w:gridCol w:w="154"/>
      </w:tblGrid>
      <w:tr>
        <w:trPr/>
        <w:tc>
          <w:tcPr>
            <w:tcW w:w="925"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goods sold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24,515 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and for which the amounts are non-cash in nature, and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Revenues and Gross Margin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and gross margin on product revenues were as follows:</w:t>
      </w:r>
    </w:p>
    <w:tbl>
      <w:tblPr>
        <w:tblW w:w="6471" w:type="dxa"/>
        <w:jc w:val="center"/>
        <w:tblInd w:w="0" w:type="dxa"/>
        <w:tblCellMar>
          <w:top w:w="28" w:type="dxa"/>
          <w:left w:w="28" w:type="dxa"/>
          <w:bottom w:w="28" w:type="dxa"/>
          <w:right w:w="28" w:type="dxa"/>
        </w:tblCellMar>
      </w:tblPr>
      <w:tblGrid>
        <w:gridCol w:w="1241"/>
        <w:gridCol w:w="1089"/>
        <w:gridCol w:w="1090"/>
        <w:gridCol w:w="324"/>
        <w:gridCol w:w="206"/>
        <w:gridCol w:w="485"/>
        <w:gridCol w:w="180"/>
        <w:gridCol w:w="180"/>
        <w:gridCol w:w="180"/>
        <w:gridCol w:w="324"/>
        <w:gridCol w:w="206"/>
        <w:gridCol w:w="485"/>
        <w:gridCol w:w="109"/>
        <w:gridCol w:w="109"/>
        <w:gridCol w:w="109"/>
        <w:gridCol w:w="154"/>
      </w:tblGrid>
      <w:tr>
        <w:trPr/>
        <w:tc>
          <w:tcPr>
            <w:tcW w:w="1241"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257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Net Sales</w:t>
            </w:r>
          </w:p>
        </w:tc>
        <w:tc>
          <w:tcPr>
            <w:tcW w:w="2570" w:type="dxa"/>
            <w:gridSpan w:val="9"/>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Codman Specialty Surgical</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248,136</w:t>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247,308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Tissue Technologies</w:t>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132,710</w:t>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w:t>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goods sold</w:t>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147,975</w:t>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142,569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 on total revenues</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232,871</w:t>
            </w:r>
          </w:p>
        </w:tc>
        <w:tc>
          <w:tcPr>
            <w:tcW w:w="5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234,069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 as a percentage of total revenues</w:t>
            </w:r>
          </w:p>
        </w:tc>
        <w:tc>
          <w:tcPr>
            <w:tcW w:w="53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62.1 </w:t>
            </w:r>
          </w:p>
        </w:tc>
        <w:tc>
          <w:tcPr>
            <w:tcW w:w="48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Three Months Ended March 31, 2023 as Compared to Three Months Ended March 31, 2022</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Revenues </w:t>
      </w:r>
    </w:p>
    <w:p>
      <w:pPr>
        <w:pStyle w:val="TextBody"/>
        <w:spacing w:lineRule="auto" w:line="288" w:before="120" w:after="120"/>
        <w:jc w:val="both"/>
        <w:rPr/>
      </w:pPr>
      <w:r>
        <w:rPr>
          <w:rFonts w:ascii="Times New Roman;sans-serif" w:hAnsi="Times New Roman;sans-serif"/>
          <w:b w:val="false"/>
          <w:color w:val="000000"/>
          <w:sz w:val="20"/>
        </w:rPr>
        <w:t>For the three months ended March 31, 2023, total revenues increased by $4.2 million to $380.8 million from $376.6 million for the same period in 2022, inclusive of a unfavorable foreign currency impact of $7.0 million on revenues, as well as a $4.5 million decrease that impacts both domestic and international revenues related to the divestiture of the TWC business. This also includes an increase of $1.8 million related to the SIA acquisition. Excluding the impacts of these items, domestic revenues increased by $6.8 million, or 2.6% as compared to the prior year period. International revenues increased by $7.1 million or 6.5% as compared to the prior period.</w:t>
      </w:r>
      <w:r>
        <w:rPr>
          <w:color w:val="000000"/>
          <w:highlight w:val="white"/>
        </w:rPr>
        <w:t xml:space="preserve"> </w:t>
      </w:r>
      <w:r>
        <w:rPr>
          <w:rFonts w:ascii="Times New Roman;sans-serif" w:hAnsi="Times New Roman;sans-serif"/>
          <w:b w:val="false"/>
          <w:color w:val="000000"/>
          <w:sz w:val="20"/>
          <w:highlight w:val="white"/>
        </w:rPr>
        <w:t>The increase in domestic revenues was primarily driven by strong sales in our TT segment. The increase in international revenues was primarily driven by Advanced Energy.</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before="120" w:after="120"/>
        <w:jc w:val="both"/>
        <w:rPr/>
      </w:pPr>
      <w:r>
        <w:rPr/>
      </w:r>
    </w:p>
    <w:p>
      <w:pPr>
        <w:pStyle w:val="TextBody"/>
        <w:spacing w:before="120" w:after="120"/>
        <w:jc w:val="both"/>
        <w:rPr/>
      </w:pPr>
      <w:r>
        <w:rPr/>
      </w:r>
    </w:p>
    <w:p>
      <w:pPr>
        <w:pStyle w:val="TextBody"/>
        <w:spacing w:lineRule="auto" w:line="288" w:before="120" w:after="120"/>
        <w:jc w:val="both"/>
        <w:rPr/>
      </w:pPr>
      <w:r>
        <w:rPr>
          <w:rFonts w:ascii="Times New Roman;sans-serif" w:hAnsi="Times New Roman;sans-serif"/>
          <w:b w:val="false"/>
          <w:color w:val="000000"/>
          <w:sz w:val="20"/>
          <w:highlight w:val="white"/>
        </w:rPr>
        <w:t>In the CSS segment, revenues were $248.1 million which was an increase of $0.8 million, or 0.3% as compared to the prior-year period, inclusive of a</w:t>
      </w:r>
      <w:r>
        <w:rPr>
          <w:color w:val="000000"/>
        </w:rPr>
        <w:t xml:space="preserve"> </w:t>
      </w:r>
      <w:r>
        <w:rPr>
          <w:rFonts w:ascii="Times New Roman;sans-serif" w:hAnsi="Times New Roman;sans-serif"/>
          <w:b w:val="false"/>
          <w:color w:val="000000"/>
          <w:sz w:val="20"/>
        </w:rPr>
        <w:t xml:space="preserve">$6.4 million </w:t>
      </w:r>
      <w:r>
        <w:rPr>
          <w:rFonts w:ascii="Times New Roman;sans-serif" w:hAnsi="Times New Roman;sans-serif"/>
          <w:b w:val="false"/>
          <w:color w:val="000000"/>
          <w:sz w:val="20"/>
          <w:highlight w:val="white"/>
        </w:rPr>
        <w:t>unfavorable foreign currency impact on revenue. Excluding the impact of foreign exchange, Neurosurgery portfolio grew low</w:t>
      </w:r>
      <w:r>
        <w:rPr>
          <w:color w:val="000000"/>
        </w:rPr>
        <w:t xml:space="preserve"> </w:t>
      </w:r>
      <w:r>
        <w:rPr>
          <w:rFonts w:ascii="Times New Roman;sans-serif" w:hAnsi="Times New Roman;sans-serif"/>
          <w:b w:val="false"/>
          <w:color w:val="000000"/>
          <w:sz w:val="20"/>
        </w:rPr>
        <w:t>single digits</w:t>
      </w:r>
      <w:r>
        <w:rPr>
          <w:color w:val="000000"/>
          <w:highlight w:val="white"/>
        </w:rPr>
        <w:t xml:space="preserve"> </w:t>
      </w:r>
      <w:r>
        <w:rPr>
          <w:rFonts w:ascii="Times New Roman;sans-serif" w:hAnsi="Times New Roman;sans-serif"/>
          <w:b w:val="false"/>
          <w:color w:val="000000"/>
          <w:sz w:val="20"/>
          <w:highlight w:val="white"/>
        </w:rPr>
        <w:t>primarily due to sales in Advanced Energy. Sales in our instruments portfolio increased mid-</w:t>
      </w:r>
      <w:r>
        <w:rPr>
          <w:rFonts w:ascii="Times New Roman;sans-serif" w:hAnsi="Times New Roman;sans-serif"/>
          <w:b w:val="false"/>
          <w:color w:val="000000"/>
          <w:sz w:val="20"/>
        </w:rPr>
        <w:t xml:space="preserve">single digits </w:t>
      </w:r>
      <w:r>
        <w:rPr>
          <w:rFonts w:ascii="Times New Roman;sans-serif" w:hAnsi="Times New Roman;sans-serif"/>
          <w:b w:val="false"/>
          <w:color w:val="000000"/>
          <w:sz w:val="20"/>
          <w:highlight w:val="white"/>
        </w:rPr>
        <w:t>as compared to the same period in the prior year.</w:t>
      </w:r>
    </w:p>
    <w:p>
      <w:pPr>
        <w:pStyle w:val="TextBody"/>
        <w:spacing w:lineRule="auto" w:line="288" w:before="120" w:after="120"/>
        <w:jc w:val="both"/>
        <w:rPr/>
      </w:pPr>
      <w:r>
        <w:rPr>
          <w:rFonts w:ascii="Times New Roman;sans-serif" w:hAnsi="Times New Roman;sans-serif"/>
          <w:b w:val="false"/>
          <w:color w:val="000000"/>
          <w:sz w:val="20"/>
          <w:highlight w:val="white"/>
        </w:rPr>
        <w:t xml:space="preserve">In the TT segment, revenues were $132.7 million which was an increase of $3.4 million, or 2.6% from the prior-year period, inclusive of a $0.6 million unfavorable foreign currency impact on revenue, </w:t>
      </w:r>
      <w:r>
        <w:rPr>
          <w:rFonts w:ascii="Times New Roman;sans-serif" w:hAnsi="Times New Roman;sans-serif"/>
          <w:b w:val="false"/>
          <w:color w:val="000000"/>
          <w:sz w:val="20"/>
        </w:rPr>
        <w:t xml:space="preserve">as well as a $4.5 million decrease that impacts both domestic and international revenues related to the divestiture of the TWC business. This also includes an increase of $1.8 million related to the SIA acquisition. </w:t>
      </w:r>
      <w:r>
        <w:rPr>
          <w:rFonts w:ascii="Times New Roman;sans-serif" w:hAnsi="Times New Roman;sans-serif"/>
          <w:b w:val="false"/>
          <w:color w:val="000000"/>
          <w:sz w:val="20"/>
          <w:highlight w:val="white"/>
        </w:rPr>
        <w:t xml:space="preserve">Excluding the impact of these items, our sales increased mid single digits, driven by strong customer demand and increased burn cases. </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spacing w:lineRule="auto" w:line="288" w:before="120" w:after="120"/>
        <w:jc w:val="both"/>
        <w:rPr/>
      </w:pPr>
      <w:r>
        <w:rPr>
          <w:rFonts w:ascii="Times New Roman;sans-serif" w:hAnsi="Times New Roman;sans-serif"/>
          <w:b w:val="false"/>
          <w:color w:val="000000"/>
          <w:sz w:val="20"/>
        </w:rPr>
        <w:t>Gross margin was $232.9 million for the three months ended March 31, 2023, a decrease of $1.2 million from $234.1 million for the sa</w:t>
      </w:r>
      <w:r>
        <w:rPr>
          <w:rFonts w:ascii="Times New Roman;sans-serif" w:hAnsi="Times New Roman;sans-serif"/>
          <w:b w:val="false"/>
          <w:color w:val="000000"/>
          <w:sz w:val="20"/>
          <w:highlight w:val="white"/>
        </w:rPr>
        <w:t xml:space="preserve">me period in 2022. Gross margin as a percentage of revenues was 61.1% </w:t>
      </w:r>
      <w:r>
        <w:rPr>
          <w:rFonts w:ascii="Times New Roman;sans-serif" w:hAnsi="Times New Roman;sans-serif"/>
          <w:b w:val="false"/>
          <w:color w:val="000000"/>
          <w:sz w:val="20"/>
        </w:rPr>
        <w:t>for the three months ended March 31, 2023</w:t>
      </w:r>
      <w:r>
        <w:rPr>
          <w:color w:val="000000"/>
          <w:highlight w:val="white"/>
        </w:rPr>
        <w:t xml:space="preserve"> </w:t>
      </w:r>
      <w:r>
        <w:rPr>
          <w:rFonts w:ascii="Times New Roman;sans-serif" w:hAnsi="Times New Roman;sans-serif"/>
          <w:b w:val="false"/>
          <w:color w:val="000000"/>
          <w:sz w:val="20"/>
          <w:highlight w:val="white"/>
        </w:rPr>
        <w:t>and 62.1% f</w:t>
      </w:r>
      <w:r>
        <w:rPr>
          <w:rFonts w:ascii="Times New Roman;sans-serif" w:hAnsi="Times New Roman;sans-serif"/>
          <w:b w:val="false"/>
          <w:color w:val="000000"/>
          <w:sz w:val="20"/>
        </w:rPr>
        <w:t>or the sa</w:t>
      </w:r>
      <w:r>
        <w:rPr>
          <w:rFonts w:ascii="Times New Roman;sans-serif" w:hAnsi="Times New Roman;sans-serif"/>
          <w:b w:val="false"/>
          <w:color w:val="000000"/>
          <w:sz w:val="20"/>
          <w:highlight w:val="white"/>
        </w:rPr>
        <w:t xml:space="preserve">me period in 2022. </w:t>
      </w:r>
      <w:r>
        <w:rPr>
          <w:rFonts w:ascii="Times New Roman;sans-serif" w:hAnsi="Times New Roman;sans-serif"/>
          <w:b w:val="false"/>
          <w:color w:val="000000"/>
          <w:sz w:val="20"/>
        </w:rPr>
        <w:t>This decrease in gross margin is a result of unfavorable product mix and an increase in manufacturing costs.</w:t>
      </w:r>
    </w:p>
    <w:p>
      <w:pPr>
        <w:pStyle w:val="TextBody"/>
        <w:spacing w:lineRule="auto" w:line="288" w:before="120" w:after="1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Operating Expenses</w:t>
      </w:r>
    </w:p>
    <w:p>
      <w:pPr>
        <w:pStyle w:val="TextBody"/>
        <w:spacing w:lineRule="auto" w:line="288" w:before="120" w:after="120"/>
        <w:jc w:val="both"/>
        <w:rPr/>
      </w:pPr>
      <w:r>
        <w:rPr>
          <w:rFonts w:ascii="Times New Roman;sans-serif" w:hAnsi="Times New Roman;sans-serif"/>
          <w:b w:val="false"/>
          <w:color w:val="000000"/>
          <w:sz w:val="20"/>
        </w:rPr>
        <w:t>The following is a summary of operating expenses as a percent of total revenues:</w:t>
      </w:r>
      <w:r>
        <w:rPr>
          <w:color w:val="000000"/>
        </w:rPr>
        <w:t> </w:t>
      </w:r>
    </w:p>
    <w:tbl>
      <w:tblPr>
        <w:tblW w:w="5115" w:type="dxa"/>
        <w:jc w:val="left"/>
        <w:tblInd w:w="0" w:type="dxa"/>
        <w:tblCellMar>
          <w:top w:w="28" w:type="dxa"/>
          <w:left w:w="28" w:type="dxa"/>
          <w:bottom w:w="28" w:type="dxa"/>
          <w:right w:w="28" w:type="dxa"/>
        </w:tblCellMar>
      </w:tblPr>
      <w:tblGrid>
        <w:gridCol w:w="923"/>
        <w:gridCol w:w="812"/>
        <w:gridCol w:w="814"/>
        <w:gridCol w:w="249"/>
        <w:gridCol w:w="217"/>
        <w:gridCol w:w="474"/>
        <w:gridCol w:w="201"/>
        <w:gridCol w:w="201"/>
        <w:gridCol w:w="201"/>
        <w:gridCol w:w="249"/>
        <w:gridCol w:w="217"/>
        <w:gridCol w:w="557"/>
      </w:tblGrid>
      <w:tr>
        <w:trPr/>
        <w:tc>
          <w:tcPr>
            <w:tcW w:w="923"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5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 amortization</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5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5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120"/>
        <w:jc w:val="both"/>
        <w:rPr/>
      </w:pPr>
      <w:r>
        <w:rPr>
          <w:rFonts w:ascii="Times New Roman;sans-serif" w:hAnsi="Times New Roman;sans-serif"/>
          <w:b w:val="false"/>
          <w:color w:val="000000"/>
          <w:sz w:val="20"/>
        </w:rPr>
        <w:t>Total operating expenses, which consist of research and development, selling, general and administrative, and amortization expenses, increased by $8.6 million, or 4.6% to $196.5 million in the three months ended March 31, 2023, compared to $187.9</w:t>
      </w:r>
      <w:r>
        <w:rPr>
          <w:color w:val="000000"/>
          <w:highlight w:val="white"/>
        </w:rPr>
        <w:t xml:space="preserve"> </w:t>
      </w:r>
      <w:r>
        <w:rPr>
          <w:rFonts w:ascii="Times New Roman;sans-serif" w:hAnsi="Times New Roman;sans-serif"/>
          <w:b w:val="false"/>
          <w:color w:val="000000"/>
          <w:sz w:val="20"/>
          <w:highlight w:val="white"/>
        </w:rPr>
        <w:t xml:space="preserve">million </w:t>
      </w:r>
      <w:r>
        <w:rPr>
          <w:rFonts w:ascii="Times New Roman;sans-serif" w:hAnsi="Times New Roman;sans-serif"/>
          <w:b w:val="false"/>
          <w:color w:val="000000"/>
          <w:sz w:val="20"/>
        </w:rPr>
        <w:t>in the same period in 2022. The increase in operating expenses compared to the prior year is primarily a result of the SIA acquisition combined with increases in selling costs associated with higher revenue.</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for the three months ended March 31, 2023 increased by $2.6 million as compared to the same period in the prior year. This increase in spending resulted from additional spending related to the SIA acquisition, new product development and clinical studies.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for the three months ended March 31, 2023 increased by $6.7 million as compared to the same period in the prior year driven primarily due to increased selling costs associated with SIA acquisition and costs associated with consulting activities.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Intangible Asset Amortization</w:t>
      </w:r>
    </w:p>
    <w:p>
      <w:pPr>
        <w:pStyle w:val="TextBody"/>
        <w:spacing w:lineRule="auto" w:line="288" w:before="120" w:after="120"/>
        <w:jc w:val="both"/>
        <w:rPr/>
      </w:pPr>
      <w:r>
        <w:rPr>
          <w:rFonts w:ascii="Times New Roman;sans-serif" w:hAnsi="Times New Roman;sans-serif"/>
          <w:b w:val="false"/>
          <w:color w:val="000000"/>
          <w:sz w:val="20"/>
        </w:rPr>
        <w:t>Amortization expense (exclu</w:t>
      </w:r>
      <w:r>
        <w:rPr>
          <w:rFonts w:ascii="Times New Roman;sans-serif" w:hAnsi="Times New Roman;sans-serif"/>
          <w:b w:val="false"/>
          <w:color w:val="000000"/>
          <w:sz w:val="20"/>
          <w:highlight w:val="white"/>
        </w:rPr>
        <w:t>din</w:t>
      </w:r>
      <w:r>
        <w:rPr>
          <w:rFonts w:ascii="Times New Roman;sans-serif" w:hAnsi="Times New Roman;sans-serif"/>
          <w:b w:val="false"/>
          <w:color w:val="000000"/>
          <w:sz w:val="20"/>
        </w:rPr>
        <w:t>g amounts reported in cost of product revenues for technology-based intangible assets) for the three months ended March 31, 2023 was $3.1 million compared to $3.9 million for the same period in the prior year.</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Non-Operating Income and Expenses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non-operating income and expenses:</w:t>
      </w:r>
    </w:p>
    <w:tbl>
      <w:tblPr>
        <w:tblW w:w="5424" w:type="dxa"/>
        <w:jc w:val="left"/>
        <w:tblInd w:w="0" w:type="dxa"/>
        <w:tblCellMar>
          <w:top w:w="28" w:type="dxa"/>
          <w:left w:w="28" w:type="dxa"/>
          <w:bottom w:w="28" w:type="dxa"/>
          <w:right w:w="28" w:type="dxa"/>
        </w:tblCellMar>
      </w:tblPr>
      <w:tblGrid>
        <w:gridCol w:w="1083"/>
        <w:gridCol w:w="950"/>
        <w:gridCol w:w="952"/>
        <w:gridCol w:w="213"/>
        <w:gridCol w:w="687"/>
        <w:gridCol w:w="118"/>
        <w:gridCol w:w="118"/>
        <w:gridCol w:w="118"/>
        <w:gridCol w:w="118"/>
        <w:gridCol w:w="213"/>
        <w:gridCol w:w="687"/>
        <w:gridCol w:w="167"/>
      </w:tblGrid>
      <w:tr>
        <w:trPr/>
        <w:tc>
          <w:tcPr>
            <w:tcW w:w="1083"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9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(12,100)</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(11,655)</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auto" w:val="clear"/>
            <w:vAlign w:val="center"/>
          </w:tcPr>
          <w:p>
            <w:pPr>
              <w:pStyle w:val="TableContents"/>
              <w:spacing w:before="0" w:after="283"/>
              <w:rPr>
                <w:sz w:val="4"/>
                <w:szCs w:val="4"/>
              </w:rPr>
            </w:pPr>
            <w:r>
              <w:rPr>
                <w:sz w:val="4"/>
                <w:szCs w:val="4"/>
              </w:rPr>
            </w:r>
          </w:p>
        </w:tc>
        <w:tc>
          <w:tcPr>
            <w:tcW w:w="1018" w:type="dxa"/>
            <w:gridSpan w:val="3"/>
            <w:tcBorders/>
            <w:shd w:fill="auto" w:val="clear"/>
            <w:vAlign w:val="center"/>
          </w:tcPr>
          <w:p>
            <w:pPr>
              <w:pStyle w:val="TableContents"/>
              <w:spacing w:before="0" w:after="283"/>
              <w:rPr>
                <w:sz w:val="4"/>
                <w:szCs w:val="4"/>
              </w:rPr>
            </w:pPr>
            <w:r>
              <w:rPr>
                <w:sz w:val="4"/>
                <w:szCs w:val="4"/>
              </w:rPr>
            </w:r>
          </w:p>
        </w:tc>
        <w:tc>
          <w:tcPr>
            <w:tcW w:w="354" w:type="dxa"/>
            <w:gridSpan w:val="3"/>
            <w:tcBorders/>
            <w:shd w:fill="auto" w:val="clear"/>
            <w:vAlign w:val="center"/>
          </w:tcPr>
          <w:p>
            <w:pPr>
              <w:pStyle w:val="TableContents"/>
              <w:spacing w:before="0" w:after="283"/>
              <w:rPr>
                <w:sz w:val="4"/>
                <w:szCs w:val="4"/>
              </w:rPr>
            </w:pPr>
            <w:r>
              <w:rPr>
                <w:sz w:val="4"/>
                <w:szCs w:val="4"/>
              </w:rPr>
            </w:r>
          </w:p>
        </w:tc>
        <w:tc>
          <w:tcPr>
            <w:tcW w:w="1067" w:type="dxa"/>
            <w:gridSpan w:val="3"/>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3,429 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 and expense</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(6,604)</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(6,849)</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2023 increased by $2.7 million as compared to the same period in the prior year due to higher interest rates.</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for the three months ended March 31, 2023 decreased by $0.4 million as compared to the same period in the prior year.</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three months ended March 31, 2023 decreased by $2.0 million compared to the same period in the prior year. The decrease is primarily driven by lower Transition Service Agreement ("TSA") income from the sale of our Extremity orthopedics business, offset by additional TSA income from the sale of our TWC business.</w:t>
      </w:r>
    </w:p>
    <w:p>
      <w:pPr>
        <w:pStyle w:val="TextBody"/>
        <w:spacing w:lineRule="auto" w:line="288" w:before="120" w:after="12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Income Taxes </w:t>
      </w:r>
    </w:p>
    <w:tbl>
      <w:tblPr>
        <w:tblW w:w="4728" w:type="dxa"/>
        <w:jc w:val="left"/>
        <w:tblInd w:w="0" w:type="dxa"/>
        <w:tblCellMar>
          <w:top w:w="28" w:type="dxa"/>
          <w:left w:w="28" w:type="dxa"/>
          <w:bottom w:w="28" w:type="dxa"/>
          <w:right w:w="28" w:type="dxa"/>
        </w:tblCellMar>
      </w:tblPr>
      <w:tblGrid>
        <w:gridCol w:w="784"/>
        <w:gridCol w:w="687"/>
        <w:gridCol w:w="689"/>
        <w:gridCol w:w="196"/>
        <w:gridCol w:w="646"/>
        <w:gridCol w:w="256"/>
        <w:gridCol w:w="109"/>
        <w:gridCol w:w="109"/>
        <w:gridCol w:w="109"/>
        <w:gridCol w:w="196"/>
        <w:gridCol w:w="646"/>
        <w:gridCol w:w="301"/>
      </w:tblGrid>
      <w:tr>
        <w:trPr/>
        <w:tc>
          <w:tcPr>
            <w:tcW w:w="784"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1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29,778 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6,414 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tax rate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income tax rates for the three months ended March 31, 2023 and 2022 were 18.6% and 16.3%, respectively.</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the three months ended March 31, 2023, the primary driver of the higher tax rate relates to a reduction of excess tax benefits from stock compensation.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Additionally, changes to income tax laws and regulations, in any of the tax jurisdictions in which we operate, could impact the effective tax rate. Various governments, both U.S. and non-U.S., are increasingly focused on tax reform and revenue-raising legislation. Further, legislation in foreign jurisdictions may be enacted, in response to the base erosion and profit-shifting project begun by the Organization for Economic Cooperation and Development ("OECD"). The OECD recently finalized major reform of the international tax system with respect to implementing a global minimum tax rate. Such changes in U.S. and non-U.S. jurisdictions could have an adverse effect on the Company’s effective tax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Our tax reserves are presented in the balance sheet within other liabilities, except for amounts relating to items that we expect to pay in the coming year, which would be classified as current income taxes payable.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GEOGRAPHIC PRODUCT REVENUES AND OPERATIONS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attribute revenues to geographic areas based on the location of the customer. Total revenue by major geographic area consisted of the following:</w:t>
      </w:r>
    </w:p>
    <w:tbl>
      <w:tblPr>
        <w:tblW w:w="4420" w:type="dxa"/>
        <w:jc w:val="left"/>
        <w:tblInd w:w="0" w:type="dxa"/>
        <w:tblCellMar>
          <w:top w:w="28" w:type="dxa"/>
          <w:left w:w="28" w:type="dxa"/>
          <w:bottom w:w="28" w:type="dxa"/>
          <w:right w:w="28" w:type="dxa"/>
        </w:tblCellMar>
      </w:tblPr>
      <w:tblGrid>
        <w:gridCol w:w="555"/>
        <w:gridCol w:w="487"/>
        <w:gridCol w:w="488"/>
        <w:gridCol w:w="196"/>
        <w:gridCol w:w="736"/>
        <w:gridCol w:w="109"/>
        <w:gridCol w:w="109"/>
        <w:gridCol w:w="109"/>
        <w:gridCol w:w="109"/>
        <w:gridCol w:w="196"/>
        <w:gridCol w:w="736"/>
        <w:gridCol w:w="109"/>
        <w:gridCol w:w="109"/>
        <w:gridCol w:w="109"/>
        <w:gridCol w:w="109"/>
        <w:gridCol w:w="154"/>
      </w:tblGrid>
      <w:tr>
        <w:trPr/>
        <w:tc>
          <w:tcPr>
            <w:tcW w:w="555"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pStyle w:val="TextBody"/>
        <w:spacing w:lineRule="auto" w:line="288" w:before="120" w:after="120"/>
        <w:jc w:val="both"/>
        <w:rPr/>
      </w:pPr>
      <w:r>
        <w:rPr>
          <w:rFonts w:ascii="Times New Roman;sans-serif" w:hAnsi="Times New Roman;sans-serif"/>
          <w:b w:val="false"/>
          <w:color w:val="000000"/>
          <w:sz w:val="20"/>
        </w:rPr>
        <w:t xml:space="preserve">Domestic revenues increased by $7.7 million for the three months ended March 31, 2023 compared to the same period last year. </w:t>
      </w:r>
      <w:r>
        <w:rPr>
          <w:rFonts w:ascii="Times New Roman;sans-serif" w:hAnsi="Times New Roman;sans-serif"/>
          <w:b w:val="false"/>
          <w:color w:val="000000"/>
          <w:sz w:val="20"/>
          <w:highlight w:val="white"/>
        </w:rPr>
        <w:t xml:space="preserve">European sales decreased by $2.7 million for the three months ended March 31, 2023 compared to the same period last year. Sales to customers in Asia Pacific increased by $2.8 million for the three months ended March 31, 2023. The Rest of World for the three months ended March 31, 2023 decreased by $3.5 million compared to the same period last year. The international revenues were impacted by $7.0 million of unfavorable foreign exchange impact, with the larger impact in Europe. The increase in global revenues, inclusive of a $7.0 million unfavorable foreign exchange impact on revenue, is a result of strong sales in our TT division and our international businesses. Sales in Japan, China, </w:t>
      </w:r>
      <w:r>
        <w:rPr>
          <w:rFonts w:ascii="Times New Roman;sans-serif" w:hAnsi="Times New Roman;sans-serif"/>
          <w:b w:val="false"/>
          <w:color w:val="000000"/>
          <w:sz w:val="20"/>
        </w:rPr>
        <w:t>Europe</w:t>
      </w:r>
      <w:r>
        <w:rPr>
          <w:rFonts w:ascii="Times New Roman;sans-serif" w:hAnsi="Times New Roman;sans-serif"/>
          <w:b w:val="false"/>
          <w:color w:val="000000"/>
          <w:sz w:val="20"/>
          <w:highlight w:val="white"/>
        </w:rPr>
        <w:t xml:space="preserve">, Canada and our indirect markets continue to drive international growth.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Company's working capital as of March 31, 2023 and December 31, 2022 was $747.2 million and $840.6 million, respectively. Working capital consists of total current assets less total current liabilities as presented in the consolidated balance sheets.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Cash and Marketable Securities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cash and cash equivalents totaling approximately $307.4 million and $456.7 million at March 31, 2023 and December 31, 2022 respectively, which are valued based on Level 1 measurements in the fair value hierarchy. At March 31, 2023, our non-U.S. subsidiaries held approximately $242.2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Cash Flows</w:t>
      </w:r>
    </w:p>
    <w:tbl>
      <w:tblPr>
        <w:tblW w:w="5636" w:type="dxa"/>
        <w:jc w:val="left"/>
        <w:tblInd w:w="0" w:type="dxa"/>
        <w:tblCellMar>
          <w:top w:w="28" w:type="dxa"/>
          <w:left w:w="28" w:type="dxa"/>
          <w:bottom w:w="28" w:type="dxa"/>
          <w:right w:w="28" w:type="dxa"/>
        </w:tblCellMar>
      </w:tblPr>
      <w:tblGrid>
        <w:gridCol w:w="1159"/>
        <w:gridCol w:w="1017"/>
        <w:gridCol w:w="1019"/>
        <w:gridCol w:w="210"/>
        <w:gridCol w:w="694"/>
        <w:gridCol w:w="117"/>
        <w:gridCol w:w="117"/>
        <w:gridCol w:w="117"/>
        <w:gridCol w:w="117"/>
        <w:gridCol w:w="210"/>
        <w:gridCol w:w="694"/>
        <w:gridCol w:w="165"/>
      </w:tblGrid>
      <w:tr>
        <w:trPr/>
        <w:tc>
          <w:tcPr>
            <w:tcW w:w="11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(13,704)</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(14,067)</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(162,683)</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(133,465)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fluctuations on cash</w:t>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Provided by Operating Activities </w:t>
      </w:r>
    </w:p>
    <w:p>
      <w:pPr>
        <w:pStyle w:val="TextBody"/>
        <w:spacing w:lineRule="auto" w:line="288" w:before="120" w:after="120"/>
        <w:jc w:val="both"/>
        <w:rPr/>
      </w:pPr>
      <w:r>
        <w:rPr>
          <w:rFonts w:ascii="Times New Roman;sans-serif" w:hAnsi="Times New Roman;sans-serif"/>
          <w:b w:val="false"/>
          <w:color w:val="000000"/>
          <w:sz w:val="20"/>
        </w:rPr>
        <w:t xml:space="preserve">Operating cash flows for the three months ended March 31, 2023 decreased by $18.2 million compared to the same period in 2022. </w:t>
      </w:r>
      <w:r>
        <w:rPr>
          <w:rFonts w:ascii="Times New Roman;sans-serif" w:hAnsi="Times New Roman;sans-serif"/>
          <w:b w:val="false"/>
          <w:color w:val="000000"/>
          <w:sz w:val="20"/>
          <w:highlight w:val="white"/>
        </w:rPr>
        <w:t xml:space="preserve">Net income after removing the non-cash adjustments decreased for the three months ended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 xml:space="preserve">by approximately $5.3 million as compared to the same period in </w:t>
      </w:r>
      <w:r>
        <w:rPr>
          <w:rFonts w:ascii="Times New Roman;sans-serif" w:hAnsi="Times New Roman;sans-serif"/>
          <w:b w:val="false"/>
          <w:color w:val="000000"/>
          <w:sz w:val="20"/>
        </w:rPr>
        <w:t>2022</w:t>
      </w:r>
      <w:r>
        <w:rPr>
          <w:color w:val="000000"/>
          <w:highlight w:val="white"/>
        </w:rPr>
        <w:t xml:space="preserve"> </w:t>
      </w:r>
      <w:r>
        <w:rPr>
          <w:rFonts w:ascii="Times New Roman;sans-serif" w:hAnsi="Times New Roman;sans-serif"/>
          <w:b w:val="false"/>
          <w:color w:val="000000"/>
          <w:sz w:val="20"/>
          <w:highlight w:val="white"/>
        </w:rPr>
        <w:t xml:space="preserve">primarily due to </w:t>
      </w:r>
      <w:r>
        <w:rPr>
          <w:rFonts w:ascii="Times New Roman;sans-serif" w:hAnsi="Times New Roman;sans-serif"/>
          <w:b w:val="false"/>
          <w:color w:val="000000"/>
          <w:sz w:val="20"/>
        </w:rPr>
        <w:t xml:space="preserve">higher product costs and expenses related to support for key growth initiatives in research and development, selling and marketing areas.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jc w:val="both"/>
        <w:rPr/>
      </w:pPr>
      <w:r>
        <w:rPr>
          <w:rFonts w:ascii="Times New Roman;sans-serif" w:hAnsi="Times New Roman;sans-serif"/>
          <w:b w:val="false"/>
          <w:color w:val="000000"/>
          <w:sz w:val="20"/>
          <w:highlight w:val="white"/>
        </w:rPr>
        <w:t xml:space="preserve">The changes in assets and liabilities in the first quarter of 2023, net of business acquisitions, decreased cash flows by $42.6 million, </w:t>
      </w:r>
      <w:r>
        <w:rPr>
          <w:rFonts w:ascii="Times New Roman;sans-serif" w:hAnsi="Times New Roman;sans-serif"/>
          <w:b w:val="false"/>
          <w:color w:val="000000"/>
          <w:sz w:val="20"/>
        </w:rPr>
        <w:t xml:space="preserve">mainly attributable to increases in inventory to support increased sales and decreases in accrued expenses and other current liabilities due to increased payments processed in the quarter. </w:t>
      </w:r>
    </w:p>
    <w:p>
      <w:pPr>
        <w:pStyle w:val="TextBody"/>
        <w:spacing w:lineRule="auto" w:line="288" w:before="120" w:after="120"/>
        <w:jc w:val="both"/>
        <w:rPr/>
      </w:pPr>
      <w:r>
        <w:rPr>
          <w:rFonts w:ascii="Times New Roman;sans-serif" w:hAnsi="Times New Roman;sans-serif"/>
          <w:b w:val="false"/>
          <w:color w:val="000000"/>
          <w:sz w:val="20"/>
        </w:rPr>
        <w:t xml:space="preserve">The changes in assets and liabilities in the first quarter of 2022, net of business acquisitions, </w:t>
      </w:r>
      <w:r>
        <w:rPr>
          <w:rFonts w:ascii="Times New Roman;sans-serif" w:hAnsi="Times New Roman;sans-serif"/>
          <w:b w:val="false"/>
          <w:color w:val="000000"/>
          <w:sz w:val="20"/>
          <w:highlight w:val="white"/>
        </w:rPr>
        <w:t>decreased</w:t>
      </w:r>
      <w:r>
        <w:rPr>
          <w:color w:val="000000"/>
        </w:rPr>
        <w:t xml:space="preserve"> </w:t>
      </w:r>
      <w:r>
        <w:rPr>
          <w:rFonts w:ascii="Times New Roman;sans-serif" w:hAnsi="Times New Roman;sans-serif"/>
          <w:b w:val="false"/>
          <w:color w:val="000000"/>
          <w:sz w:val="20"/>
        </w:rPr>
        <w:t xml:space="preserve">cash flows by </w:t>
      </w:r>
      <w:r>
        <w:rPr>
          <w:rFonts w:ascii="Times New Roman;sans-serif" w:hAnsi="Times New Roman;sans-serif"/>
          <w:b w:val="false"/>
          <w:color w:val="000000"/>
          <w:sz w:val="20"/>
          <w:highlight w:val="white"/>
        </w:rPr>
        <w:t xml:space="preserve">$29.8 million, </w:t>
      </w:r>
      <w:r>
        <w:rPr>
          <w:rFonts w:ascii="Times New Roman;sans-serif" w:hAnsi="Times New Roman;sans-serif"/>
          <w:b w:val="false"/>
          <w:color w:val="000000"/>
          <w:sz w:val="20"/>
        </w:rPr>
        <w:t>primarily due to increases in inventory to support increased sales and decreases in accounts payable, accrued expenses and other current liabilities due to increased payments processed in the quarter.</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Used in Investing Activities</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three months ended March 31, 2023, we paid $13.7 million for capital expenditures to support operations improvement initiatives at a number of our manufacturing facilities and other information technology investments.</w:t>
      </w:r>
    </w:p>
    <w:p>
      <w:pPr>
        <w:pStyle w:val="TextBody"/>
        <w:spacing w:lineRule="auto" w:line="288" w:before="120" w:after="120"/>
        <w:jc w:val="both"/>
        <w:rPr/>
      </w:pPr>
      <w:r>
        <w:rPr>
          <w:rFonts w:ascii="Times New Roman;sans-serif" w:hAnsi="Times New Roman;sans-serif"/>
          <w:b w:val="false"/>
          <w:color w:val="000000"/>
          <w:sz w:val="20"/>
          <w:highlight w:val="white"/>
        </w:rPr>
        <w:t>During the three months ended March 31, 2022, we paid $9.3 million for capital expenditures to support operations improvement initiatives at a number of our manufacturing facilities and other information technology investments</w:t>
      </w:r>
      <w:r>
        <w:rPr>
          <w:color w:val="000000"/>
        </w:rPr>
        <w:t xml:space="preserve"> </w:t>
      </w:r>
      <w:r>
        <w:rPr>
          <w:rFonts w:ascii="Times New Roman;sans-serif" w:hAnsi="Times New Roman;sans-serif"/>
          <w:b w:val="false"/>
          <w:color w:val="000000"/>
          <w:sz w:val="20"/>
        </w:rPr>
        <w:t>as well as the final $4.7 million payment related to the final developmental milestone for Rebound Therapeutics Corporation.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Cash Flows Used in Financing Activities</w:t>
      </w:r>
    </w:p>
    <w:p>
      <w:pPr>
        <w:pStyle w:val="TextBody"/>
        <w:spacing w:lineRule="auto" w:line="288" w:before="120" w:after="120"/>
        <w:jc w:val="both"/>
        <w:rPr/>
      </w:pPr>
      <w:r>
        <w:rPr>
          <w:rFonts w:ascii="Times New Roman;sans-serif" w:hAnsi="Times New Roman;sans-serif"/>
          <w:b w:val="false"/>
          <w:color w:val="000000"/>
          <w:sz w:val="20"/>
          <w:highlight w:val="white"/>
        </w:rPr>
        <w:t xml:space="preserve">Uses of cash from financing activities in the three months ended March 31, 2023 related to the repurchase of treasury stock of $150.0 million under the 2023 </w:t>
      </w:r>
      <w:r>
        <w:rPr>
          <w:rFonts w:ascii="Times New Roman;sans-serif" w:hAnsi="Times New Roman;sans-serif"/>
          <w:b w:val="false"/>
          <w:color w:val="000000"/>
          <w:sz w:val="20"/>
        </w:rPr>
        <w:t xml:space="preserve">accelerated share repurchase agreement, </w:t>
      </w:r>
      <w:r>
        <w:rPr>
          <w:rFonts w:ascii="Times New Roman;sans-serif" w:hAnsi="Times New Roman;sans-serif"/>
          <w:b w:val="false"/>
          <w:color w:val="000000"/>
          <w:sz w:val="20"/>
          <w:highlight w:val="white"/>
        </w:rPr>
        <w:t xml:space="preserve">repayments of $12.4 million under our Senior Credit Facility and Securitization Facility. We also had $7.6 million in payment of debt issuance costs. In addition, the Company had $5.2 million in cash taxes paid for net equity settlements. </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Sources of cash from financing activities for the three months ended March 31, 2023 were $10.2 million borrowing under our Senior Credit Facility and Securitization Facility and $2.3 million proceeds from the exercise of stock options.</w:t>
      </w:r>
    </w:p>
    <w:p>
      <w:pPr>
        <w:pStyle w:val="TextBody"/>
        <w:spacing w:lineRule="auto" w:line="288" w:before="120" w:after="120"/>
        <w:jc w:val="both"/>
        <w:rPr/>
      </w:pPr>
      <w:r>
        <w:rPr>
          <w:rFonts w:ascii="Times New Roman;sans-serif" w:hAnsi="Times New Roman;sans-serif"/>
          <w:b w:val="false"/>
          <w:color w:val="000000"/>
          <w:sz w:val="20"/>
          <w:highlight w:val="white"/>
        </w:rPr>
        <w:t xml:space="preserve">Uses of cash from financing activities in the three months ended March 31, 2022 related to the repurchase of treasury stock of $125.0 million under the 2022 </w:t>
      </w:r>
      <w:r>
        <w:rPr>
          <w:rFonts w:ascii="Times New Roman;sans-serif" w:hAnsi="Times New Roman;sans-serif"/>
          <w:b w:val="false"/>
          <w:color w:val="000000"/>
          <w:sz w:val="20"/>
        </w:rPr>
        <w:t xml:space="preserve">accelerated share repurchase agreement, </w:t>
      </w:r>
      <w:r>
        <w:rPr>
          <w:rFonts w:ascii="Times New Roman;sans-serif" w:hAnsi="Times New Roman;sans-serif"/>
          <w:b w:val="false"/>
          <w:color w:val="000000"/>
          <w:sz w:val="20"/>
          <w:highlight w:val="white"/>
        </w:rPr>
        <w:t xml:space="preserve">repayments of $11.8 million under our Senior Credit Facility and Securitization Facility. In addition, we had $9.2 million in cash taxes paid for net equity settlements. </w:t>
      </w:r>
    </w:p>
    <w:p>
      <w:pPr>
        <w:pStyle w:val="TextBody"/>
        <w:spacing w:lineRule="auto" w:line="288" w:before="120" w:after="12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Sources of cash from financing activities for the three months ended March 31, 2022 were $11.3 million borrowing under our Senior Credit Facility and Securitization Facility and $1.2 million proceeds from the exercise of stock options.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Amended and Restated Senior Credit Agreement, Convertible Senior Notes, Securitization and Related Hedging Activities</w:t>
      </w:r>
    </w:p>
    <w:p>
      <w:pPr>
        <w:pStyle w:val="TextBody"/>
        <w:spacing w:lineRule="auto" w:line="288" w:before="120" w:after="120"/>
        <w:jc w:val="both"/>
        <w:rPr/>
      </w:pPr>
      <w:r>
        <w:rPr>
          <w:rFonts w:ascii="Times New Roman;sans-serif" w:hAnsi="Times New Roman;sans-serif"/>
          <w:b w:val="false"/>
          <w:color w:val="000000"/>
          <w:sz w:val="20"/>
        </w:rPr>
        <w:t xml:space="preserve">See </w:t>
      </w:r>
      <w:r>
        <w:rPr>
          <w:rFonts w:ascii="Times New Roman;sans-serif" w:hAnsi="Times New Roman;sans-serif"/>
          <w:b w:val="false"/>
          <w:color w:val="000000"/>
          <w:sz w:val="20"/>
          <w:highlight w:val="white"/>
        </w:rPr>
        <w:t>Note 6.</w:t>
      </w:r>
      <w:r>
        <w:rPr>
          <w:color w:val="000000"/>
          <w:highlight w:val="white"/>
        </w:rPr>
        <w:t xml:space="preserve"> </w:t>
      </w:r>
      <w:r>
        <w:rPr>
          <w:rFonts w:ascii="Times New Roman;sans-serif" w:hAnsi="Times New Roman;sans-serif"/>
          <w:b w:val="false"/>
          <w:i/>
          <w:color w:val="000000"/>
          <w:sz w:val="20"/>
          <w:highlight w:val="white"/>
        </w:rPr>
        <w:t>Debt</w:t>
      </w:r>
      <w:r>
        <w:rPr>
          <w:rFonts w:ascii="Times New Roman;sans-serif" w:hAnsi="Times New Roman;sans-serif"/>
          <w:b w:val="false"/>
          <w:i/>
          <w:color w:val="000000"/>
          <w:sz w:val="18"/>
          <w:highlight w:val="white"/>
        </w:rPr>
        <w:t xml:space="preserve">, </w:t>
      </w:r>
      <w:r>
        <w:rPr>
          <w:rFonts w:ascii="Times New Roman;sans-serif" w:hAnsi="Times New Roman;sans-serif"/>
          <w:b w:val="false"/>
          <w:color w:val="000000"/>
          <w:sz w:val="20"/>
        </w:rPr>
        <w:t xml:space="preserve">to the Notes to Consolidated Financial Statements (Part I, Item 1 of this Quarterly Report) for a discussion of our Amended and Restated Senior Credit Agreement, the 2025 Notes and Securitization Facility and Note 7, </w:t>
      </w:r>
      <w:r>
        <w:rPr>
          <w:rFonts w:ascii="Times New Roman;sans-serif" w:hAnsi="Times New Roman;sans-serif"/>
          <w:b w:val="false"/>
          <w:i/>
          <w:color w:val="000000"/>
          <w:sz w:val="20"/>
        </w:rPr>
        <w:t>Derivative Instruments</w:t>
      </w:r>
      <w:r>
        <w:rPr>
          <w:rFonts w:ascii="Times New Roman;sans-serif" w:hAnsi="Times New Roman;sans-serif"/>
          <w:b w:val="false"/>
          <w:i/>
          <w:color w:val="000000"/>
          <w:sz w:val="18"/>
          <w:highlight w:val="white"/>
        </w:rPr>
        <w:t xml:space="preserve">, </w:t>
      </w:r>
      <w:r>
        <w:rPr>
          <w:rFonts w:ascii="Times New Roman;sans-serif" w:hAnsi="Times New Roman;sans-serif"/>
          <w:b w:val="false"/>
          <w:color w:val="000000"/>
          <w:sz w:val="20"/>
        </w:rPr>
        <w:t xml:space="preserve">to the Notes to Consolidated Financial Statements (Part I, Item 1 of this Quarterly Report) for discussion of our hedging activities. We are forecasting that sales and earnings for the next twelve months will be sufficient to remain in compliance with our financial covenants under the terms of the March 2023 Amendment to the Senior Credit Facility.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Share Repurchase Plan</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26, 2023, we entered into ("the 2023 ASR") and received 2.1 million shares of our common stock at inception of the 2023 ASR, which represented approximately 80% of the expected total shares under the 2023 ASR. The remaining repurchase transactions are expected to be completed in the second quarter of 2023.</w:t>
      </w:r>
    </w:p>
    <w:p>
      <w:pPr>
        <w:pStyle w:val="TextBody"/>
        <w:spacing w:lineRule="auto" w:line="288" w:before="120" w:after="120"/>
        <w:jc w:val="both"/>
        <w:rPr/>
      </w:pPr>
      <w:r>
        <w:rPr>
          <w:rFonts w:ascii="Times New Roman;sans-serif" w:hAnsi="Times New Roman;sans-serif"/>
          <w:b w:val="false"/>
          <w:color w:val="000000"/>
          <w:sz w:val="20"/>
          <w:highlight w:val="white"/>
        </w:rPr>
        <w:t xml:space="preserve">On January 12, 2022, we entered into a $125.0 million </w:t>
      </w:r>
      <w:r>
        <w:rPr>
          <w:rFonts w:ascii="Times New Roman;sans-serif" w:hAnsi="Times New Roman;sans-serif"/>
          <w:b w:val="false"/>
          <w:color w:val="000000"/>
          <w:sz w:val="20"/>
        </w:rPr>
        <w:t xml:space="preserve">accelerated share repurchase ("2022 </w:t>
      </w:r>
      <w:r>
        <w:rPr>
          <w:rFonts w:ascii="Times New Roman;sans-serif" w:hAnsi="Times New Roman;sans-serif"/>
          <w:b w:val="false"/>
          <w:color w:val="000000"/>
          <w:sz w:val="20"/>
          <w:highlight w:val="white"/>
        </w:rPr>
        <w:t xml:space="preserve">ASR") and received </w:t>
      </w:r>
      <w:r>
        <w:rPr>
          <w:rFonts w:ascii="Times New Roman;sans-serif" w:hAnsi="Times New Roman;sans-serif"/>
          <w:b w:val="false"/>
          <w:color w:val="000000"/>
          <w:sz w:val="20"/>
        </w:rPr>
        <w:t>1.48 million</w:t>
      </w:r>
      <w:r>
        <w:rPr>
          <w:color w:val="000000"/>
          <w:highlight w:val="white"/>
        </w:rPr>
        <w:t xml:space="preserve"> </w:t>
      </w:r>
      <w:r>
        <w:rPr>
          <w:rFonts w:ascii="Times New Roman;sans-serif" w:hAnsi="Times New Roman;sans-serif"/>
          <w:b w:val="false"/>
          <w:color w:val="000000"/>
          <w:sz w:val="20"/>
          <w:highlight w:val="white"/>
        </w:rPr>
        <w:t xml:space="preserve">shares of our common stock at inception of the 2022 ASR, which represented approximately 80% of the expected total shares under the 2022 ASR. </w:t>
      </w:r>
      <w:r>
        <w:rPr>
          <w:rFonts w:ascii="Times New Roman;sans-serif" w:hAnsi="Times New Roman;sans-serif"/>
          <w:b w:val="false"/>
          <w:color w:val="000000"/>
          <w:sz w:val="20"/>
        </w:rPr>
        <w:t xml:space="preserve">On March 24, 2022, the early exercise provision under the 2022 ASR was exercised by 2022 ASR counterparty. </w:t>
      </w:r>
      <w:r>
        <w:rPr>
          <w:rFonts w:ascii="Times New Roman;sans-serif" w:hAnsi="Times New Roman;sans-serif"/>
          <w:b w:val="false"/>
          <w:color w:val="000000"/>
          <w:sz w:val="20"/>
          <w:highlight w:val="white"/>
        </w:rPr>
        <w:t>Upon settlement of the 2022 ASR on March 24, 2022, we received an additional 0.46 million shares determined using the volume-weighted average price of our common stock during the term of the 2022 ASR.</w:t>
      </w:r>
    </w:p>
    <w:p>
      <w:pPr>
        <w:pStyle w:val="TextBody"/>
        <w:spacing w:lineRule="auto" w:line="288" w:before="120" w:after="120"/>
        <w:jc w:val="both"/>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 xml:space="preserve">Note 11. Treasury Stock, </w:t>
      </w:r>
      <w:r>
        <w:rPr>
          <w:rFonts w:ascii="Times New Roman;sans-serif" w:hAnsi="Times New Roman;sans-serif"/>
          <w:b w:val="false"/>
          <w:color w:val="000000"/>
          <w:sz w:val="20"/>
        </w:rPr>
        <w:t>to the Notes to Consolidated Financial Statements (Part I, Item 1 of this Quarterly Report) for further details.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and will depend upon our financial condition, results of operations, cash flows and other factors deemed relevant by the Board.</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Capital Resources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financing arrangements during the three months ended March 31, 2023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spacing w:lineRule="auto" w:line="288" w:before="120" w:after="120"/>
        <w:jc w:val="both"/>
        <w:rPr/>
      </w:pPr>
      <w:r>
        <w:rPr>
          <w:rFonts w:ascii="Times New Roman;sans-serif" w:hAnsi="Times New Roman;sans-serif"/>
          <w:b w:val="false"/>
          <w:color w:val="000000"/>
          <w:sz w:val="20"/>
        </w:rPr>
        <w:t xml:space="preserve">Our primary obligations include principal and interest payments on revolving portion and </w:t>
      </w:r>
      <w:r>
        <w:rPr>
          <w:rFonts w:ascii="Times New Roman;sans-serif" w:hAnsi="Times New Roman;sans-serif"/>
          <w:b w:val="false"/>
          <w:color w:val="000000"/>
          <w:sz w:val="20"/>
          <w:highlight w:val="white"/>
        </w:rPr>
        <w:t xml:space="preserve">Term Loan component of the Senior Credit Facility, Securitization Facility and Convertible Securities. See </w:t>
      </w:r>
      <w:r>
        <w:rPr>
          <w:rFonts w:ascii="Times New Roman;sans-serif" w:hAnsi="Times New Roman;sans-serif"/>
          <w:b w:val="false"/>
          <w:i/>
          <w:color w:val="000000"/>
          <w:sz w:val="20"/>
          <w:highlight w:val="white"/>
        </w:rPr>
        <w:t>Note 6. Debt</w:t>
      </w:r>
      <w:r>
        <w:rPr>
          <w:rFonts w:ascii="Times New Roman;sans-serif" w:hAnsi="Times New Roman;sans-serif"/>
          <w:b w:val="false"/>
          <w:i/>
          <w:color w:val="000000"/>
          <w:sz w:val="18"/>
          <w:highlight w:val="white"/>
        </w:rPr>
        <w:t xml:space="preserve">, </w:t>
      </w:r>
      <w:r>
        <w:rPr>
          <w:rFonts w:ascii="Times New Roman;sans-serif" w:hAnsi="Times New Roman;sans-serif"/>
          <w:b w:val="false"/>
          <w:color w:val="000000"/>
          <w:sz w:val="20"/>
        </w:rPr>
        <w:t xml:space="preserve">to the Notes to Consolidated Financial Statements (Part I, Item 1 of this Quarterly Report) for details. </w:t>
      </w:r>
      <w:r>
        <w:rPr>
          <w:rFonts w:ascii="Times New Roman;sans-serif" w:hAnsi="Times New Roman;sans-serif"/>
          <w:b w:val="false"/>
          <w:color w:val="000000"/>
          <w:sz w:val="20"/>
          <w:highlight w:val="white"/>
        </w:rPr>
        <w:t xml:space="preserve">We also lease some of our manufacturing facilities and office buildings which have future minimum lease payments associated. See </w:t>
      </w:r>
      <w:r>
        <w:rPr>
          <w:rFonts w:ascii="Times New Roman;sans-serif" w:hAnsi="Times New Roman;sans-serif"/>
          <w:b w:val="false"/>
          <w:i/>
          <w:color w:val="000000"/>
          <w:sz w:val="20"/>
          <w:highlight w:val="white"/>
        </w:rPr>
        <w:t>Note 10. Leases and Related Party Leases</w:t>
      </w:r>
      <w:r>
        <w:rPr>
          <w:rFonts w:ascii="Times New Roman;sans-serif" w:hAnsi="Times New Roman;sans-serif"/>
          <w:b w:val="false"/>
          <w:color w:val="000000"/>
          <w:sz w:val="20"/>
          <w:highlight w:val="white"/>
        </w:rPr>
        <w:t>,</w:t>
      </w:r>
      <w:r>
        <w:rPr>
          <w:color w:val="000000"/>
          <w:highlight w:val="white"/>
        </w:rPr>
        <w:t xml:space="preserve"> </w:t>
      </w:r>
      <w:r>
        <w:rPr>
          <w:rFonts w:ascii="Times New Roman;sans-serif" w:hAnsi="Times New Roman;sans-serif"/>
          <w:b w:val="false"/>
          <w:color w:val="000000"/>
          <w:sz w:val="20"/>
        </w:rPr>
        <w:t xml:space="preserve">to the Notes to Consolidated Financial Statements (Part I, Item 1 of this Quarterly Report) </w:t>
      </w:r>
      <w:r>
        <w:rPr>
          <w:rFonts w:ascii="Times New Roman;sans-serif" w:hAnsi="Times New Roman;sans-serif"/>
          <w:b w:val="false"/>
          <w:color w:val="000000"/>
          <w:sz w:val="20"/>
          <w:highlight w:val="white"/>
        </w:rPr>
        <w:t>for a schedule of our future minimum lease payments. Amounts related to our other obligations, including employment agreements and purchase obligations were not material.</w:t>
      </w:r>
    </w:p>
    <w:p>
      <w:pPr>
        <w:pStyle w:val="TextBody"/>
        <w:spacing w:lineRule="auto" w:line="288" w:before="0" w:after="0"/>
        <w:jc w:val="both"/>
        <w:rPr/>
      </w:pPr>
      <w:r>
        <w:rPr>
          <w:rFonts w:ascii="Times New Roman;sans-serif" w:hAnsi="Times New Roman;sans-serif"/>
          <w:b w:val="false"/>
          <w:color w:val="000000"/>
          <w:sz w:val="20"/>
          <w:highlight w:val="white"/>
        </w:rPr>
        <w:t xml:space="preserve">The Company has contingent consideration obligation related to prior and current year acquisitions and future pension contribution obligations. See </w:t>
      </w:r>
      <w:r>
        <w:rPr>
          <w:rFonts w:ascii="Times New Roman;sans-serif" w:hAnsi="Times New Roman;sans-serif"/>
          <w:b w:val="false"/>
          <w:i/>
          <w:color w:val="000000"/>
          <w:sz w:val="20"/>
          <w:highlight w:val="white"/>
        </w:rPr>
        <w:t>Note 9. Retirement Plans</w:t>
      </w:r>
      <w:r>
        <w:rPr>
          <w:rFonts w:ascii="Times New Roman;sans-serif" w:hAnsi="Times New Roman;sans-serif"/>
          <w:b w:val="false"/>
          <w:color w:val="000000"/>
          <w:sz w:val="20"/>
          <w:highlight w:val="white"/>
        </w:rPr>
        <w:t xml:space="preserve">, and </w:t>
      </w:r>
      <w:r>
        <w:rPr>
          <w:rFonts w:ascii="Times New Roman;sans-serif" w:hAnsi="Times New Roman;sans-serif"/>
          <w:b w:val="false"/>
          <w:i/>
          <w:color w:val="000000"/>
          <w:sz w:val="20"/>
          <w:highlight w:val="white"/>
        </w:rPr>
        <w:t>Note 16. Commitments and Contingencies</w:t>
      </w:r>
      <w:r>
        <w:rPr>
          <w:rFonts w:ascii="Times New Roman;sans-serif" w:hAnsi="Times New Roman;sans-serif"/>
          <w:b w:val="false"/>
          <w:color w:val="000000"/>
          <w:sz w:val="20"/>
          <w:highlight w:val="white"/>
        </w:rPr>
        <w:t>, to the Notes to Consolidated Financial Statements (Part I, Item 1 of this Quarterly Report) for details. The associated obligations are not fixed. We also have a liability for uncertain tax benefits including interest and penalties. We cannot make a reliable estimate of the period in which the uncertain tax benefits may be realized.</w:t>
      </w:r>
    </w:p>
    <w:p>
      <w:pPr>
        <w:pStyle w:val="TextBody"/>
        <w:spacing w:before="12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accounting estimates included in our Annual Report on Form 10-K for the fiscal year ended December 31, 2022 have not materially changed. </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spacing w:lineRule="auto" w:line="268" w:before="0" w:after="0"/>
        <w:rPr/>
      </w:pPr>
      <w:r>
        <w:rPr>
          <w:rFonts w:ascii="Times New Roman;sans-serif" w:hAnsi="Times New Roman;sans-serif"/>
          <w:b w:val="false"/>
          <w:color w:val="000000"/>
          <w:sz w:val="20"/>
        </w:rPr>
        <w:t xml:space="preserve">Information regarding new accounting pronouncements is included in </w:t>
      </w:r>
      <w:r>
        <w:rPr>
          <w:rFonts w:ascii="Times New Roman;sans-serif" w:hAnsi="Times New Roman;sans-serif"/>
          <w:b w:val="false"/>
          <w:i/>
          <w:color w:val="000000"/>
          <w:sz w:val="20"/>
        </w:rPr>
        <w:t>Note 1. Basis of Presentation</w:t>
      </w:r>
      <w:r>
        <w:rPr>
          <w:rFonts w:ascii="Times New Roman;sans-serif" w:hAnsi="Times New Roman;sans-serif"/>
          <w:b w:val="false"/>
          <w:color w:val="000000"/>
          <w:sz w:val="20"/>
        </w:rPr>
        <w:t>, to the Notes to Consolidated Financial Statements (Part I, Item 1 of this Quarterly Report)</w:t>
      </w:r>
      <w:r>
        <w:rPr>
          <w:color w:val="000000"/>
        </w:rPr>
        <w:t xml:space="preserve"> </w:t>
      </w:r>
      <w:r>
        <w:rPr>
          <w:rFonts w:ascii="Times New Roman;sans-serif" w:hAnsi="Times New Roman;sans-serif"/>
          <w:b w:val="false"/>
          <w:color w:val="000000"/>
          <w:sz w:val="20"/>
        </w:rPr>
        <w:t>to the current period’s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and Other Rate Risks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spacing w:lineRule="auto" w:line="268" w:before="0" w:after="0"/>
        <w:rPr/>
      </w:pPr>
      <w:r>
        <w:rPr>
          <w:rFonts w:ascii="Times New Roman;sans-serif" w:hAnsi="Times New Roman;sans-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ans-serif" w:hAnsi="Times New Roman;sans-serif"/>
          <w:b w:val="false"/>
          <w:i/>
          <w:color w:val="000000"/>
          <w:sz w:val="20"/>
        </w:rPr>
        <w:t>Note 7. Derivative Instruments</w:t>
      </w:r>
      <w:r>
        <w:rPr>
          <w:rFonts w:ascii="Times New Roman;sans-serif" w:hAnsi="Times New Roman;sans-serif"/>
          <w:b w:val="false"/>
          <w:color w:val="000000"/>
          <w:sz w:val="20"/>
        </w:rPr>
        <w:t>, to Notes to Consolidated Financial Statements (Part I, Item 1 of this Quarterly Report) for further information.</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discussed herein have not been materially affected by inflation.</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120" w:after="120"/>
        <w:jc w:val="both"/>
        <w:rPr/>
      </w:pPr>
      <w:r>
        <w:rPr>
          <w:rFonts w:ascii="Times New Roman;sans-serif" w:hAnsi="Times New Roman;sans-serif"/>
          <w:b w:val="false"/>
          <w:i/>
          <w:color w:val="000000"/>
          <w:sz w:val="20"/>
          <w:u w:val="single"/>
        </w:rPr>
        <w:t>Cash and Cash Equivalents</w:t>
      </w:r>
      <w:r>
        <w:rPr>
          <w:color w:val="000000"/>
        </w:rPr>
        <w:t xml:space="preserve"> </w:t>
      </w:r>
      <w:r>
        <w:rPr>
          <w:rFonts w:ascii="Times New Roman;sans-serif" w:hAnsi="Times New Roman;sans-serif"/>
          <w:b w:val="false"/>
          <w:color w:val="000000"/>
          <w:sz w:val="20"/>
        </w:rPr>
        <w:t>- We are exposed to the risk of interest rate fluctuations on the interest income earned on our cash and cash equivalents. A hypothetical 100 basis points movement in interest rates applicable to our cash and cash equivalents outstanding at March 31, 2023 would impact interest income by approximately $3.1 million on an annual basis. We are subject to foreign currency exchange risk with respect to cash balances maintained in foreign currencies.</w:t>
      </w:r>
    </w:p>
    <w:p>
      <w:pPr>
        <w:pStyle w:val="TextBody"/>
        <w:spacing w:lineRule="auto" w:line="268" w:before="0" w:after="0"/>
        <w:rPr/>
      </w:pPr>
      <w:r>
        <w:rPr>
          <w:rFonts w:ascii="Times New Roman;sans-serif" w:hAnsi="Times New Roman;sans-serif"/>
          <w:b w:val="false"/>
          <w:i/>
          <w:color w:val="000000"/>
          <w:sz w:val="20"/>
          <w:u w:val="single"/>
        </w:rPr>
        <w:t>Debt</w:t>
      </w:r>
      <w:r>
        <w:rPr>
          <w:color w:val="000000"/>
        </w:rPr>
        <w:t xml:space="preserve"> </w:t>
      </w:r>
      <w:r>
        <w:rPr>
          <w:rFonts w:ascii="Times New Roman;sans-serif" w:hAnsi="Times New Roman;sans-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March 31, 2023. The total notional amounts related to the Company’s interest rate swaps were $1.5 billion with $775.0 million effective as of March 31, 2023. Based on our outstanding borrowings at March 31, 2023, a 100 basis points change in interest rates would have impacted interest expense on the unhedged portion of the debt by $1.0 million on an annualized basis. See </w:t>
      </w:r>
      <w:r>
        <w:rPr>
          <w:rFonts w:ascii="Times New Roman;sans-serif" w:hAnsi="Times New Roman;sans-serif"/>
          <w:b w:val="false"/>
          <w:i/>
          <w:color w:val="000000"/>
          <w:sz w:val="20"/>
        </w:rPr>
        <w:t>Note 7. Derivative Instruments</w:t>
      </w:r>
      <w:r>
        <w:rPr>
          <w:rFonts w:ascii="Times New Roman;sans-serif" w:hAnsi="Times New Roman;sans-serif"/>
          <w:b w:val="false"/>
          <w:color w:val="000000"/>
          <w:sz w:val="20"/>
        </w:rPr>
        <w:t>, to the Notes to Consolidated Financial Statements (Part I, Item 1 of this Quarterly Report) for further information regarding interest rate swaps.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provide reasonable assurance that information required to be disclosed in our Exchange Act report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2023. Based upon this evaluation, our principal executive officer and principal financial officer concluded that our disclosure controls and procedures were effective as of March 31, 2023 to provide such reasonable assurance.</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under the Exchange Act) that occurred during the quarter ended March 31, 2023 that have materially affected, or are reasonably likely to materially affect, our internal control over financial reporting.</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0" w:after="0"/>
        <w:rPr/>
      </w:pPr>
      <w:r>
        <w:rPr>
          <w:rFonts w:ascii="Times New Roman;sans-serif" w:hAnsi="Times New Roman;sans-serif"/>
          <w:b w:val="false"/>
          <w:color w:val="000000"/>
          <w:sz w:val="20"/>
        </w:rPr>
        <w:t xml:space="preserve">Information pertaining to legal proceedings can be found in Note 16, </w:t>
      </w:r>
      <w:r>
        <w:rPr>
          <w:rFonts w:ascii="Times New Roman;sans-serif" w:hAnsi="Times New Roman;sans-serif"/>
          <w:b w:val="false"/>
          <w:i/>
          <w:color w:val="000000"/>
          <w:sz w:val="20"/>
        </w:rPr>
        <w:t>Commitment and Contingencies</w:t>
      </w:r>
      <w:r>
        <w:rPr>
          <w:rFonts w:ascii="Times New Roman;sans-serif" w:hAnsi="Times New Roman;sans-serif"/>
          <w:b w:val="false"/>
          <w:color w:val="000000"/>
          <w:sz w:val="20"/>
        </w:rPr>
        <w:t>, to the Notes to Consolidated Financial Statements (Part I, Item 1 of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 xml:space="preserve">ITEM 1A. RISK FACTORS </w:t>
      </w:r>
    </w:p>
    <w:p>
      <w:pPr>
        <w:pStyle w:val="TextBody"/>
        <w:spacing w:lineRule="auto" w:line="288" w:before="120" w:after="120"/>
        <w:rPr/>
      </w:pPr>
      <w:r>
        <w:rPr>
          <w:rFonts w:ascii="Times New Roman;sans-serif" w:hAnsi="Times New Roman;sans-serif"/>
          <w:b w:val="false"/>
          <w:color w:val="212529"/>
          <w:sz w:val="20"/>
        </w:rPr>
        <w:t xml:space="preserve">There have been no material changes in our risk factors included in our Annual Report on Form 10-K for the fiscal year ended </w:t>
      </w:r>
      <w:r>
        <w:rPr>
          <w:rFonts w:ascii="Times New Roman;sans-serif" w:hAnsi="Times New Roman;sans-serif"/>
          <w:b w:val="false"/>
          <w:color w:val="000000"/>
          <w:sz w:val="20"/>
        </w:rPr>
        <w:t>December 31, 2022</w:t>
      </w:r>
      <w:r>
        <w:rPr>
          <w:color w:val="212529"/>
        </w:rPr>
        <w:t xml:space="preserve"> </w:t>
      </w:r>
      <w:r>
        <w:rPr>
          <w:rFonts w:ascii="Times New Roman;sans-serif" w:hAnsi="Times New Roman;sans-serif"/>
          <w:b w:val="false"/>
          <w:color w:val="212529"/>
          <w:sz w:val="20"/>
        </w:rPr>
        <w:t>and subsequent periodic reports filed with the Securities and Exchange Commission pursuant to the Securities Exchange Act of 1934, as amended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by us during the quarter ended March 31, 2023 of equity securities that are registered by us pursuant to Section 12 of the Exchange Act. Subject to applicable law, share repurchases may be made from time to time in open market transactions, privately negotiated transactions including accelerated share repurchase agreements, or pursuant to instruments and plans complying with Rule 10b5-1 under the Exchange Act, among other types of transactions and arrangements.</w:t>
      </w:r>
    </w:p>
    <w:tbl>
      <w:tblPr>
        <w:tblW w:w="10205" w:type="dxa"/>
        <w:jc w:val="left"/>
        <w:tblInd w:w="0" w:type="dxa"/>
        <w:tblCellMar>
          <w:top w:w="28" w:type="dxa"/>
          <w:left w:w="28" w:type="dxa"/>
          <w:bottom w:w="28" w:type="dxa"/>
          <w:right w:w="28" w:type="dxa"/>
        </w:tblCellMar>
      </w:tblPr>
      <w:tblGrid>
        <w:gridCol w:w="296"/>
        <w:gridCol w:w="260"/>
        <w:gridCol w:w="263"/>
        <w:gridCol w:w="109"/>
        <w:gridCol w:w="109"/>
        <w:gridCol w:w="109"/>
        <w:gridCol w:w="710"/>
        <w:gridCol w:w="473"/>
        <w:gridCol w:w="474"/>
        <w:gridCol w:w="109"/>
        <w:gridCol w:w="109"/>
        <w:gridCol w:w="109"/>
        <w:gridCol w:w="268"/>
        <w:gridCol w:w="760"/>
        <w:gridCol w:w="149"/>
        <w:gridCol w:w="109"/>
        <w:gridCol w:w="109"/>
        <w:gridCol w:w="109"/>
        <w:gridCol w:w="992"/>
        <w:gridCol w:w="785"/>
        <w:gridCol w:w="787"/>
        <w:gridCol w:w="109"/>
        <w:gridCol w:w="109"/>
        <w:gridCol w:w="109"/>
        <w:gridCol w:w="950"/>
        <w:gridCol w:w="713"/>
        <w:gridCol w:w="1017"/>
      </w:tblGrid>
      <w:tr>
        <w:trPr/>
        <w:tc>
          <w:tcPr>
            <w:tcW w:w="29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r>
      <w:tr>
        <w:trPr/>
        <w:tc>
          <w:tcPr>
            <w:tcW w:w="1020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Issuer purchases of equity securities</w:t>
            </w:r>
          </w:p>
        </w:tc>
      </w:tr>
      <w:tr>
        <w:trPr/>
        <w:tc>
          <w:tcPr>
            <w:tcW w:w="8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by month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by month as part of publicly announced repurchase programs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that may yet be purchased under the plans or program</w:t>
            </w:r>
          </w:p>
        </w:tc>
      </w:tr>
      <w:tr>
        <w:trPr/>
        <w:tc>
          <w:tcPr>
            <w:tcW w:w="8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0"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01/01/23 - 01/31/23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2,111,189 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56.68 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2,111,189 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30,000,000 </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02/01/23 - 02/28/23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03/01/23 - 03/31/23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2,111,189 </w:t>
            </w:r>
          </w:p>
        </w:tc>
        <w:tc>
          <w:tcPr>
            <w:tcW w:w="47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56.68 </w:t>
            </w:r>
          </w:p>
        </w:tc>
        <w:tc>
          <w:tcPr>
            <w:tcW w:w="14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2,111,189 </w:t>
            </w:r>
          </w:p>
        </w:tc>
        <w:tc>
          <w:tcPr>
            <w:tcW w:w="7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3"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30,000,000 </w:t>
            </w:r>
          </w:p>
        </w:tc>
        <w:tc>
          <w:tcPr>
            <w:tcW w:w="10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26, 2023, the Company entered into the 2023 ASR and received 2.1 million shares of our common stock at inception of the 2023 ASR, which represented approximately 80% of the expected total shares under the 2023 ASR. The remaining repurchase transactions are expected to be completed in the second quarter of 2023. </w:t>
      </w:r>
    </w:p>
    <w:p>
      <w:pPr>
        <w:pStyle w:val="TextBody"/>
        <w:spacing w:lineRule="auto" w:line="288" w:before="120" w:after="120"/>
        <w:rPr/>
      </w:pPr>
      <w:r>
        <w:rPr>
          <w:rFonts w:ascii="Times New Roman;sans-serif" w:hAnsi="Times New Roman;sans-serif"/>
          <w:b w:val="false"/>
          <w:color w:val="000000"/>
          <w:sz w:val="20"/>
        </w:rPr>
        <w:t xml:space="preserve">See Note 11, </w:t>
      </w:r>
      <w:r>
        <w:rPr>
          <w:rFonts w:ascii="Times New Roman;sans-serif" w:hAnsi="Times New Roman;sans-serif"/>
          <w:b w:val="false"/>
          <w:i/>
          <w:color w:val="000000"/>
          <w:sz w:val="20"/>
        </w:rPr>
        <w:t xml:space="preserve">Treasury Stock, </w:t>
      </w:r>
      <w:r>
        <w:rPr>
          <w:rFonts w:ascii="Times New Roman;sans-serif" w:hAnsi="Times New Roman;sans-serif"/>
          <w:b w:val="false"/>
          <w:color w:val="000000"/>
          <w:sz w:val="20"/>
        </w:rPr>
        <w:t xml:space="preserve">to the Notes to Consolidated Financial Statements (Part I, Item 1 of this Quarterly Report) for additional information regarding our share repurchase program and the 2023 ASR.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CellMar>
          <w:top w:w="28" w:type="dxa"/>
          <w:left w:w="28" w:type="dxa"/>
          <w:bottom w:w="28" w:type="dxa"/>
          <w:right w:w="28" w:type="dxa"/>
        </w:tblCellMar>
      </w:tblPr>
      <w:tblGrid>
        <w:gridCol w:w="294"/>
        <w:gridCol w:w="258"/>
        <w:gridCol w:w="259"/>
        <w:gridCol w:w="109"/>
        <w:gridCol w:w="109"/>
        <w:gridCol w:w="109"/>
        <w:gridCol w:w="2933"/>
        <w:gridCol w:w="2537"/>
        <w:gridCol w:w="3597"/>
      </w:tblGrid>
      <w:tr>
        <w:trPr/>
        <w:tc>
          <w:tcPr>
            <w:tcW w:w="294"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3597" w:type="dxa"/>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7" w:type="dxa"/>
            <w:gridSpan w:val="3"/>
            <w:tcBorders/>
            <w:shd w:fill="auto" w:val="cle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Second Amended and Restated Bylaws of Integra LifeSciences Holdings Corporation, effective as of December 11, 2018 (Incorporated by reference to Exhibit 3.2 to the Company’s Current Report on Form 8-k filed on December 12, 2018)</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Seventh Amended and Restated Credit Agreement, dated as of March 24, 2023, among Integra LifeSciences Holdings Corporation, the lenders party thereto, Bank of America, N.A., as Administrative Agent, Swing Line Lender and L/C Issuer, Citibank N.A., JPMorgan Chase Bank, N.A., Morgan Stanley MUFG Loan Partners, LLC, PNC Bank, N.A., Truist Securities, Inc. and Wells Fargo Bank, N.A., as Co-Syndication Agents, and The Bank of Nova Scotia, BMO Harris Bank N.A., BNP Paribas, Capital One, National Association, Citizens Bank, N.A., DNB Bank ASA, New York Branch, Santander Bank, N.A. and TD Bank, N.A., as Co-Documentation Agents (Incorporated by reference to Exhibit 10.1 to the Company’s Current Report on Form 8-K filed on March 24,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Ratification Agreement, dated as of March 24, 2023, between Integra LifeSciences Holdings Corporation, the Subsidiary Guarantors of Integra LifeSciences Holdings Corporation and Bank of America, N.A., as Administrative Agent (Incorporated by reference to Exhibit 10.2 to the Company’s Current Report on Form 8-K filed on March 24, 2023).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Form of Integra LifeSciences Holdings Corporation Fifth Amended and Restated 2003 Equity Incentive Plan Restricted Stock Award Agreement – Directors (Incorporated by reference to Exhibit 10.3(h) to the Company’s Annual Report on Form 10-K for the fiscal year ended December 31, 2022 filed on February 22, 2023) #</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Form of Integra LifeSciences Holdings Corporation Fifth Amended and Restated 2003 Equity Incentive Plan Restricted Stock Agreement – Executive Officers (Incorporated by reference to Exhibit 10.3(i) to the Company’s Annual Report on Form 10-K for the fiscal year ended December 31, 2022 filed on February 22, 2023) #</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Form of Integra LifeSciences Holdings Corporation Fifth Amended and Restated 2003 Equity Incentive Plan Performance Stock Unit Award Agreement (Incorporated by reference to Exhibit 10.3(j) to the Company’s Annual Report on Form 10-K for the fiscal year ended December 31, 2022 filed on February 22, 2023) +</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Form of Integra LifeSciences Holdings Corporation Fifth Amended and Restated 2003 Equity Incentive Plan Non-Qualified Stock Option Award Agreement (Incorporated by reference to Exhibit 10.3(k) to the Company’s Annual Report on Form 10-K for the fiscal year ended December 31, 2022 filed on February 22, 2023) +</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Form of Integra LifeSciences Holdings Corporation Fifth Amended and Restated 2003 Equity Incentive Plan Restricted Stock Award Agreement – OUS (Incorporated by reference to Exhibit 10.3(l) to the Company’s Annual Report on Form 10-K for the fiscal year ended December 31, 2022 filed on February 22, 2023) +</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268"/>
        <w:gridCol w:w="236"/>
        <w:gridCol w:w="239"/>
        <w:gridCol w:w="109"/>
        <w:gridCol w:w="109"/>
        <w:gridCol w:w="109"/>
        <w:gridCol w:w="2707"/>
        <w:gridCol w:w="2661"/>
        <w:gridCol w:w="3767"/>
      </w:tblGrid>
      <w:tr>
        <w:trPr/>
        <w:tc>
          <w:tcPr>
            <w:tcW w:w="26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7" w:type="dxa"/>
            <w:tcBorders/>
            <w:shd w:fill="auto" w:val="clear"/>
            <w:vAlign w:val="center"/>
          </w:tcPr>
          <w:p>
            <w:pPr>
              <w:pStyle w:val="TableContents"/>
              <w:spacing w:before="0" w:after="283"/>
              <w:rPr>
                <w:sz w:val="4"/>
                <w:szCs w:val="4"/>
              </w:rPr>
            </w:pPr>
            <w:r>
              <w:rPr>
                <w:sz w:val="4"/>
                <w:szCs w:val="4"/>
              </w:rPr>
            </w:r>
          </w:p>
        </w:tc>
        <w:tc>
          <w:tcPr>
            <w:tcW w:w="2661" w:type="dxa"/>
            <w:tcBorders/>
            <w:shd w:fill="auto" w:val="clear"/>
            <w:vAlign w:val="center"/>
          </w:tcPr>
          <w:p>
            <w:pPr>
              <w:pStyle w:val="TableContents"/>
              <w:spacing w:before="0" w:after="283"/>
              <w:rPr>
                <w:sz w:val="4"/>
                <w:szCs w:val="4"/>
              </w:rPr>
            </w:pPr>
            <w:r>
              <w:rPr>
                <w:sz w:val="4"/>
                <w:szCs w:val="4"/>
              </w:rPr>
            </w:r>
          </w:p>
        </w:tc>
        <w:tc>
          <w:tcPr>
            <w:tcW w:w="3767" w:type="dxa"/>
            <w:tcBorders/>
            <w:shd w:fill="auto" w:val="cle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rt-20230331xexx104.htm">
              <w:r>
                <w:rPr>
                  <w:rStyle w:val="InternetLink"/>
                  <w:rFonts w:ascii="Times New Roman;sans-serif" w:hAnsi="Times New Roman;sans-serif"/>
                  <w:b w:val="false"/>
                  <w:color w:val="0000FF"/>
                  <w:sz w:val="20"/>
                  <w:u w:val="single"/>
                </w:rPr>
                <w:t>Amendment No. 4 to Receivables Financing Agreement and Reaffirmation of Performance Guaranty, dated as of April 17, 2023, by and among, Integra Receivables LLC, Integra LifeSciences Sales LLC, as Servicer, PNC Bank, National Associations, as Administrative Agent, PNC Capital Markets LLC, as Structuring Agent, Committed Lender and Group Agent, and certain lenders and group agents that are parties thereto from time to time</w:t>
              </w:r>
            </w:hyperlink>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art-20230331xexx311.htm">
              <w:r>
                <w:rPr>
                  <w:rStyle w:val="InternetLink"/>
                  <w:rFonts w:ascii="Times New Roman;sans-serif" w:hAnsi="Times New Roman;sans-serif"/>
                  <w:b w:val="false"/>
                  <w:color w:val="0000FF"/>
                  <w:sz w:val="20"/>
                  <w:u w:val="single"/>
                </w:rPr>
                <w:t>Certification of Principal Executive Officer Pursuant to Section 302 of the Sarbanes-Oxley Act of 2002</w:t>
              </w:r>
            </w:hyperlink>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rt-20230331xexx312.htm">
              <w:r>
                <w:rPr>
                  <w:rStyle w:val="InternetLink"/>
                  <w:rFonts w:ascii="Times New Roman;sans-serif" w:hAnsi="Times New Roman;sans-serif"/>
                  <w:b w:val="false"/>
                  <w:color w:val="0000FF"/>
                  <w:sz w:val="20"/>
                  <w:u w:val="single"/>
                </w:rPr>
                <w:t>Certification of Principal Financial Officer Pursuant to Section 302 of the Sarbanes-Oxley Act of 2002</w:t>
              </w:r>
            </w:hyperlink>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rt-20230331xexx321.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rt-20230331xexx32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Definition Linkbase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7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3"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240" w:after="24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24"/>
        <w:gridCol w:w="109"/>
        <w:gridCol w:w="109"/>
        <w:gridCol w:w="2964"/>
        <w:gridCol w:w="2853"/>
        <w:gridCol w:w="404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4" w:type="dxa"/>
            <w:tcBorders/>
            <w:shd w:fill="auto" w:val="clear"/>
            <w:vAlign w:val="center"/>
          </w:tcPr>
          <w:p>
            <w:pPr>
              <w:pStyle w:val="TableContents"/>
              <w:spacing w:before="0" w:after="283"/>
              <w:rPr>
                <w:sz w:val="4"/>
                <w:szCs w:val="4"/>
              </w:rPr>
            </w:pPr>
            <w:r>
              <w:rPr>
                <w:sz w:val="4"/>
                <w:szCs w:val="4"/>
              </w:rPr>
            </w:r>
          </w:p>
        </w:tc>
        <w:tc>
          <w:tcPr>
            <w:tcW w:w="2853" w:type="dxa"/>
            <w:tcBorders/>
            <w:shd w:fill="auto" w:val="clear"/>
            <w:vAlign w:val="center"/>
          </w:tcPr>
          <w:p>
            <w:pPr>
              <w:pStyle w:val="TableContents"/>
              <w:spacing w:before="0" w:after="283"/>
              <w:rPr>
                <w:sz w:val="4"/>
                <w:szCs w:val="4"/>
              </w:rPr>
            </w:pPr>
            <w:r>
              <w:rPr>
                <w:sz w:val="4"/>
                <w:szCs w:val="4"/>
              </w:rPr>
            </w:r>
          </w:p>
        </w:tc>
        <w:tc>
          <w:tcPr>
            <w:tcW w:w="404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Indicates a management contract or compensatory plan or arrangement.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information of Integra LifeSciences Holdings Corporation Quarterly Report on Form 10-Q for the quarter ended March 31, 2023 filed on April 26, 2023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5f1eb1bd01d541c3aa0777712077c048_7">
        <w:r>
          <w:rPr>
            <w:rStyle w:val="InternetLink"/>
            <w:rFonts w:ascii="Times New Roman;sans-serif" w:hAnsi="Times New Roman;sans-serif"/>
            <w:b w:val="false"/>
            <w:color w:val="0000FF"/>
            <w:sz w:val="20"/>
            <w:u w:val="single"/>
          </w:rPr>
          <w:t>Table of Contents</w:t>
        </w:r>
      </w:hyperlink>
      <w:r>
        <w:rPr>
          <w:rFonts w:ascii="Times New Roman;sans-serif" w:hAnsi="Times New Roman;sans-serif"/>
          <w:b w:val="false"/>
          <w:color w:val="000000"/>
          <w:sz w:val="20"/>
        </w:rPr>
        <w:t>"</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7315"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1505"/>
        <w:gridCol w:w="1505"/>
        <w:gridCol w:w="21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21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INTEGRA LIFESCIENCES HOLDINGS CORPORATION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10.4</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4 TO RECEIVABLES FINANCING AGREEMENT</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AND</w:t>
      </w:r>
    </w:p>
    <w:p>
      <w:pPr>
        <w:pStyle w:val="TextBody"/>
        <w:spacing w:lineRule="auto" w:line="240" w:before="0" w:after="36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REAFFIRMATION OF PERFORMANCE GUARANTY </w:t>
      </w:r>
    </w:p>
    <w:p>
      <w:pPr>
        <w:pStyle w:val="TextBody"/>
        <w:spacing w:lineRule="auto" w:line="240" w:before="0" w:after="240"/>
        <w:ind w:left="0" w:right="0" w:firstLine="720"/>
        <w:jc w:val="both"/>
        <w:rPr/>
      </w:pPr>
      <w:r>
        <w:rPr>
          <w:rFonts w:ascii="Times New Roman;sans-serif" w:hAnsi="Times New Roman;sans-serif"/>
          <w:b w:val="false"/>
          <w:color w:val="000000"/>
          <w:sz w:val="24"/>
        </w:rPr>
        <w:t>This AMENDMENT NO. 4 TO RECEIVABLES FINANCING AGREEMENT AND REAFFIRMATION OF PERFORMANCE GUARANTY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dated as of April 17, 2023 is entered into by and among INTEGRA RECEIVABLES LLC (“</w:t>
      </w:r>
      <w:r>
        <w:rPr>
          <w:rFonts w:ascii="Times New Roman;sans-serif" w:hAnsi="Times New Roman;sans-serif"/>
          <w:b w:val="false"/>
          <w:color w:val="000000"/>
          <w:sz w:val="24"/>
          <w:u w:val="single"/>
        </w:rPr>
        <w:t>Integra</w:t>
      </w:r>
      <w:r>
        <w:rPr>
          <w:color w:val="000000"/>
        </w:rPr>
        <w:t>”</w:t>
      </w:r>
      <w:r>
        <w:rPr>
          <w:rFonts w:ascii="Times New Roman;sans-serif" w:hAnsi="Times New Roman;sans-serif"/>
          <w:b w:val="false"/>
          <w:color w:val="000000"/>
          <w:sz w:val="24"/>
        </w:rPr>
        <w:t>), as borrower under the Receivables Financing Agreement (as defined below) (in such capacity, together with its successors and permitted assigns in such capacity,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INTEGRA LIFESCIENCES SALES LLC (“</w:t>
      </w:r>
      <w:r>
        <w:rPr>
          <w:rFonts w:ascii="Times New Roman;sans-serif" w:hAnsi="Times New Roman;sans-serif"/>
          <w:b w:val="false"/>
          <w:color w:val="000000"/>
          <w:sz w:val="24"/>
          <w:u w:val="single"/>
        </w:rPr>
        <w:t>Integra Sales</w:t>
      </w:r>
      <w:r>
        <w:rPr>
          <w:color w:val="000000"/>
        </w:rPr>
        <w:t>”</w:t>
      </w:r>
      <w:r>
        <w:rPr>
          <w:rFonts w:ascii="Times New Roman;sans-serif" w:hAnsi="Times New Roman;sans-serif"/>
          <w:b w:val="false"/>
          <w:color w:val="000000"/>
          <w:sz w:val="24"/>
        </w:rPr>
        <w:t>), as initial servicer under the Receivables Financing Agreement (in such capacity, together with its successors and permitted assigns in such capacity,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PNC BANK, NATIONAL ASSOCIATION (“</w:t>
      </w:r>
      <w:r>
        <w:rPr>
          <w:rFonts w:ascii="Times New Roman;sans-serif" w:hAnsi="Times New Roman;sans-serif"/>
          <w:b w:val="false"/>
          <w:color w:val="000000"/>
          <w:sz w:val="24"/>
          <w:u w:val="single"/>
        </w:rPr>
        <w:t>PNC</w:t>
      </w:r>
      <w:r>
        <w:rPr>
          <w:color w:val="000000"/>
        </w:rPr>
        <w:t>”</w:t>
      </w:r>
      <w:r>
        <w:rPr>
          <w:rFonts w:ascii="Times New Roman;sans-serif" w:hAnsi="Times New Roman;sans-serif"/>
          <w:b w:val="false"/>
          <w:color w:val="000000"/>
          <w:sz w:val="24"/>
        </w:rPr>
        <w:t>), as administrative agent under the Receivables Financing Agreement (in such capacity, together with its successors and permitted assigns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as a committed lender under the Receivables Financing Agreement (in such capacity, together with its successors and permitted assigns in such capacity, a “</w:t>
      </w:r>
      <w:r>
        <w:rPr>
          <w:rFonts w:ascii="Times New Roman;sans-serif" w:hAnsi="Times New Roman;sans-serif"/>
          <w:b w:val="false"/>
          <w:color w:val="000000"/>
          <w:sz w:val="24"/>
          <w:u w:val="single"/>
        </w:rPr>
        <w:t>Committed Lender</w:t>
      </w:r>
      <w:r>
        <w:rPr>
          <w:color w:val="000000"/>
        </w:rPr>
        <w:t>”</w:t>
      </w:r>
      <w:r>
        <w:rPr>
          <w:rFonts w:ascii="Times New Roman;sans-serif" w:hAnsi="Times New Roman;sans-serif"/>
          <w:b w:val="false"/>
          <w:color w:val="000000"/>
          <w:sz w:val="24"/>
        </w:rPr>
        <w:t>), and as group agent for the PNC Group under the Receivables Financing Agreement (in such capacity, together with its successors and permitted assigns in such capacity, a “</w:t>
      </w:r>
      <w:r>
        <w:rPr>
          <w:rFonts w:ascii="Times New Roman;sans-serif" w:hAnsi="Times New Roman;sans-serif"/>
          <w:b w:val="false"/>
          <w:color w:val="000000"/>
          <w:sz w:val="24"/>
          <w:u w:val="single"/>
        </w:rPr>
        <w:t>Group Agent</w:t>
      </w:r>
      <w:r>
        <w:rPr>
          <w:color w:val="000000"/>
        </w:rPr>
        <w:t>”</w:t>
      </w:r>
      <w:r>
        <w:rPr>
          <w:rFonts w:ascii="Times New Roman;sans-serif" w:hAnsi="Times New Roman;sans-serif"/>
          <w:b w:val="false"/>
          <w:color w:val="000000"/>
          <w:sz w:val="24"/>
        </w:rPr>
        <w:t>), and the various other Lenders and Group Agents from time to time party to the Receivables Financing Agreement, and acknowledged and agreed to by PNC CAPITAL MARKETS LLC, as structuring agent (in such capacity, together with its successors and permitted assigns in such capacity, the “</w:t>
      </w:r>
      <w:r>
        <w:rPr>
          <w:rFonts w:ascii="Times New Roman;sans-serif" w:hAnsi="Times New Roman;sans-serif"/>
          <w:b w:val="false"/>
          <w:color w:val="000000"/>
          <w:sz w:val="24"/>
          <w:u w:val="single"/>
        </w:rPr>
        <w:t>Structuring Agent</w:t>
      </w:r>
      <w:r>
        <w:rPr>
          <w:color w:val="000000"/>
        </w:rPr>
        <w:t>”</w:t>
      </w:r>
      <w:r>
        <w:rPr>
          <w:rFonts w:ascii="Times New Roman;sans-serif" w:hAnsi="Times New Roman;sans-serif"/>
          <w:b w:val="false"/>
          <w:color w:val="000000"/>
          <w:sz w:val="24"/>
        </w:rPr>
        <w:t xml:space="preserve">), and is reaffirmed by, with respect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INTEGRA LIFESCIENCES HOLDINGS CORPORATION (“</w:t>
      </w:r>
      <w:r>
        <w:rPr>
          <w:rFonts w:ascii="Times New Roman;sans-serif" w:hAnsi="Times New Roman;sans-serif"/>
          <w:b w:val="false"/>
          <w:color w:val="000000"/>
          <w:sz w:val="24"/>
          <w:u w:val="single"/>
        </w:rPr>
        <w:t>Integra Holdings</w:t>
      </w:r>
      <w:r>
        <w:rPr>
          <w:color w:val="000000"/>
        </w:rPr>
        <w:t>”</w:t>
      </w:r>
      <w:r>
        <w:rPr>
          <w:rFonts w:ascii="Times New Roman;sans-serif" w:hAnsi="Times New Roman;sans-serif"/>
          <w:b w:val="false"/>
          <w:color w:val="000000"/>
          <w:sz w:val="24"/>
        </w:rPr>
        <w:t>), as performance guarantor (in such capacity, together with its successors and permitted assigns in such capacity, the “</w:t>
      </w:r>
      <w:r>
        <w:rPr>
          <w:rFonts w:ascii="Times New Roman;sans-serif" w:hAnsi="Times New Roman;sans-serif"/>
          <w:b w:val="false"/>
          <w:color w:val="000000"/>
          <w:sz w:val="24"/>
          <w:u w:val="single"/>
        </w:rPr>
        <w:t>Performance Guarantor</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BACKGROUND</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Borrower, the Servicer, the Persons from time to time party thereto as Lenders and as Group Agents, the Administrative Agent, and, solely with respect to Section 10.10 thereof, the Structuring Agent, entered into the Receivables Financing Agreement, dated as of December 21, 2018 (as amended, restated, supplemented or otherwise modified prior to the date hereof, the “</w:t>
      </w:r>
      <w:r>
        <w:rPr>
          <w:rFonts w:ascii="Times New Roman;sans-serif" w:hAnsi="Times New Roman;sans-serif"/>
          <w:b w:val="false"/>
          <w:color w:val="000000"/>
          <w:sz w:val="24"/>
          <w:u w:val="single"/>
        </w:rPr>
        <w:t>Original Receivables Financing Agreement</w:t>
      </w:r>
      <w:r>
        <w:rPr>
          <w:color w:val="000000"/>
        </w:rPr>
        <w:t>”</w:t>
      </w:r>
      <w:r>
        <w:rPr>
          <w:rFonts w:ascii="Times New Roman;sans-serif" w:hAnsi="Times New Roman;sans-serif"/>
          <w:b w:val="false"/>
          <w:color w:val="000000"/>
          <w:sz w:val="24"/>
        </w:rPr>
        <w:t>; and as amended by this Amendment and as may be further amended, restated, supplemented or otherwise modified from time to time, the “</w:t>
      </w:r>
      <w:r>
        <w:rPr>
          <w:rFonts w:ascii="Times New Roman;sans-serif" w:hAnsi="Times New Roman;sans-serif"/>
          <w:b w:val="false"/>
          <w:color w:val="000000"/>
          <w:sz w:val="24"/>
          <w:u w:val="single"/>
        </w:rPr>
        <w:t>Receivables Financing Agreement</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Performance Guarantor entered into the Performance Guaranty as of December 21, 2018 (as may be further amended, restated, supplemented or otherwise modified from time to time, the “</w:t>
      </w:r>
      <w:r>
        <w:rPr>
          <w:rFonts w:ascii="Times New Roman;sans-serif" w:hAnsi="Times New Roman;sans-serif"/>
          <w:b w:val="false"/>
          <w:color w:val="000000"/>
          <w:sz w:val="24"/>
          <w:u w:val="single"/>
        </w:rPr>
        <w:t>Performance Guaranty</w:t>
      </w:r>
      <w:r>
        <w:rPr>
          <w:color w:val="000000"/>
        </w:rPr>
        <w:t>”</w:t>
      </w:r>
      <w:r>
        <w:rPr>
          <w:rFonts w:ascii="Times New Roman;sans-serif" w:hAnsi="Times New Roman;sans-serif"/>
          <w:b w:val="false"/>
          <w:color w:val="000000"/>
          <w:sz w:val="24"/>
        </w:rPr>
        <w:t>) in favor of, and as accepted by, the Administrative Agent;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hereto wish to further amend the Original Receivables Financing Agreement pursuant to the terms and conditions set forth herein.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and sufficiency of which are hereby acknowledged, the parties hereto hereby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w:t>
      </w:r>
      <w:r>
        <w:rPr>
          <w:rFonts w:ascii="Times New Roman;sans-serif" w:hAnsi="Times New Roman;sans-serif"/>
          <w:b w:val="false"/>
          <w:color w:val="000000"/>
          <w:sz w:val="24"/>
        </w:rPr>
        <w:t>Definitions. Capitalized terms used but not defined in this Amendment shall have the meanings assigned to them in the Receivables Financing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2.</w:t>
      </w:r>
      <w:r>
        <w:rPr>
          <w:rFonts w:ascii="Times New Roman;sans-serif" w:hAnsi="Times New Roman;sans-serif"/>
          <w:b w:val="false"/>
          <w:color w:val="000000"/>
          <w:sz w:val="24"/>
        </w:rPr>
        <w:t xml:space="preserve">Amendments to Original Receivables Financing Agreement. Effective as of the date hereof and subject to the satisfaction of the conditions precedent set forth in </w:t>
      </w:r>
      <w:r>
        <w:rPr>
          <w:rFonts w:ascii="Times New Roman;sans-serif" w:hAnsi="Times New Roman;sans-serif"/>
          <w:b w:val="false"/>
          <w:color w:val="000000"/>
          <w:sz w:val="24"/>
          <w:u w:val="single"/>
        </w:rPr>
        <w:t>Section 4</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2100"/>
                <wp:effectExtent l="0" t="0" r="0" b="0"/>
                <wp:wrapNone/>
                <wp:docPr id="45" name="Frame4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hereof, the Original Receivables Financing Agreement is hereby amended to add or delete such text as may be necessary to conform the Original Receivables Purchase Agreement to the agreement attached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3.</w:t>
      </w:r>
      <w:r>
        <w:rPr>
          <w:rFonts w:ascii="Times New Roman;sans-serif" w:hAnsi="Times New Roman;sans-serif"/>
          <w:b w:val="false"/>
          <w:color w:val="000000"/>
          <w:sz w:val="24"/>
        </w:rPr>
        <w:t>Representations, Warranties and Enforceability. Each of the Borrower and the Servicer hereby represents and warrants to the Administrative Agent, the Group Agents and the Lenders, as applicable, as of the date hereof with respect to itself,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representations and warranties of it contained in Section 6.01 and Section 6.02, as applicable, of the Receivables Financing Agreement are true and correct in all material respects (unless such representations and warranties contain a materiality qualification, in which case, such representations and warranties shall be true and correct as made) on and as of the date hereof as though made on and as of such date unless such representations and warranties by their terms refer to an earlier date, in which case they shall be true and correct in all material respects (unless such representations and warranties contain a materiality qualification, in which case such representations and warranties shall be true and correct as made) on and as of such earlier date; and</w:t>
      </w:r>
    </w:p>
    <w:p>
      <w:pPr>
        <w:pStyle w:val="TextBody"/>
        <w:spacing w:lineRule="auto" w:line="240"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 the execution and delivery by it of this Amendment, and the performance of its obligations under this Amendment and the Receivables Financing Agreement are within its organizational powers and have been duly authorized by all necessary action on its part and (ii) this Amendment and the Receivables Financing Agreement are its valid and legally binding obligations, enforceable in accordance with their respective terms.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4.</w:t>
      </w:r>
      <w:r>
        <w:rPr>
          <w:rFonts w:ascii="Times New Roman;sans-serif" w:hAnsi="Times New Roman;sans-serif"/>
          <w:b w:val="false"/>
          <w:color w:val="000000"/>
          <w:sz w:val="24"/>
        </w:rPr>
        <w:t>Conditions Precedent. The effectiveness of this Amendment is subject to the satisfaction of all of the following conditions precedent:</w:t>
      </w:r>
    </w:p>
    <w:p>
      <w:pPr>
        <w:pStyle w:val="TextBody"/>
        <w:spacing w:lineRule="auto" w:line="240"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Administrative Agent shall have received a fully executed counterpart of this Amendment.</w:t>
      </w:r>
    </w:p>
    <w:p>
      <w:pPr>
        <w:pStyle w:val="TextBody"/>
        <w:spacing w:lineRule="auto" w:line="268" w:before="0" w:after="0"/>
        <w:ind w:left="0" w:right="0" w:firstLine="720"/>
        <w:rPr/>
      </w:pPr>
      <w:r>
        <w:rPr>
          <w:rFonts w:ascii="Times New Roman;sans-serif" w:hAnsi="Times New Roman;sans-serif"/>
          <w:b w:val="false"/>
          <w:color w:val="000000"/>
          <w:sz w:val="24"/>
        </w:rPr>
        <w:t>(b)</w:t>
      </w:r>
      <w:r>
        <w:rPr>
          <w:rFonts w:ascii="Times New Roman;sans-serif" w:hAnsi="Times New Roman;sans-serif"/>
          <w:b w:val="false"/>
          <w:color w:val="000000"/>
          <w:sz w:val="24"/>
        </w:rPr>
        <w:t>(i) PNC, as the Administrative Agent, as a Committed Lender and as the Group Agent for the PNC Group under the Receivables Financing Agreement, as applicable, shall have received all fees and other amounts due and payable to it under the Transaction Documents and in connection with this Amendment on or prior to the date hereof, including, to the extent invoiced, payment or reimbursement of all fees and expenses (including reasonable and documented out-of-pocket fees, charges and disbursements of counsel) required to be paid or reimbursed on or prior to the date hereof and (ii) PNC Capital Markets LLC, as Structuring Agent under the Receivables Financing Agreement, shall have received a one-time fee (the “</w:t>
      </w:r>
      <w:r>
        <w:rPr>
          <w:rFonts w:ascii="Times New Roman;sans-serif" w:hAnsi="Times New Roman;sans-serif"/>
          <w:b w:val="false"/>
          <w:color w:val="000000"/>
          <w:sz w:val="24"/>
          <w:u w:val="single"/>
        </w:rPr>
        <w:t>Amendment Fee</w:t>
      </w:r>
      <w:r>
        <w:rPr>
          <w:color w:val="000000"/>
        </w:rPr>
        <w:t>”</w:t>
      </w:r>
      <w:r>
        <w:rPr>
          <w:rFonts w:ascii="Times New Roman;sans-serif" w:hAnsi="Times New Roman;sans-serif"/>
          <w:b w:val="false"/>
          <w:color w:val="000000"/>
          <w:sz w:val="24"/>
        </w:rPr>
        <w:t>) in an amount equal to Fifty Thousand Dollars ($50,000), which Amendment Fee shall accrue and be due and payable on the date hereof . To the extent such fees and other amounts have not yet been invoiced, the Borrower agrees to remit payment to the applicable party promptly upon receipt of such invoice.</w:t>
      </w:r>
    </w:p>
    <w:p>
      <w:pPr>
        <w:pStyle w:val="TextBody"/>
        <w:spacing w:before="0" w:after="0"/>
        <w:ind w:left="0" w:right="0" w:firstLine="108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No Event of Default or Unmatured Event of Default, as set forth in Section 9.01 of the Receivables Financing Agreement, shall have occurred and be continuing.</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5.</w:t>
      </w:r>
      <w:r>
        <w:rPr>
          <w:rFonts w:ascii="Times New Roman;sans-serif" w:hAnsi="Times New Roman;sans-serif"/>
          <w:b w:val="false"/>
          <w:color w:val="000000"/>
          <w:sz w:val="24"/>
        </w:rPr>
        <w:t xml:space="preserve">Amendment. The Borrower, the Servicer, the Administrative Agent, the Group Agents, the Lenders, and, with respect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the Performance Guarantor, hereby agree that the provisions and effectiveness of this Amendment shall apply to the Receivables Financing Agreement as of the date hereof. Except as amended by this Amendment, the Original Receivables Financing Agreement remains unchanged and in full force and effect. This Amendment is a Transaction Document.</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2100"/>
                <wp:effectExtent l="0" t="0" r="0" b="0"/>
                <wp:wrapNone/>
                <wp:docPr id="46" name="Frame4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v:textbox>
              </v:rect>
            </w:pict>
          </mc:Fallback>
        </mc:AlternateContent>
      </w:r>
    </w:p>
    <w:p>
      <w:pPr>
        <w:pStyle w:val="TextBody"/>
        <w:spacing w:lineRule="auto" w:line="240" w:before="0" w:after="120"/>
        <w:ind w:left="0" w:right="0" w:firstLine="720"/>
        <w:jc w:val="both"/>
        <w:rPr/>
      </w:pPr>
      <w:r>
        <w:rPr>
          <w:rFonts w:ascii="Times New Roman;sans-serif" w:hAnsi="Times New Roman;sans-serif"/>
          <w:b w:val="false"/>
          <w:color w:val="000000"/>
          <w:sz w:val="24"/>
        </w:rPr>
        <w:t>SECTION 6.</w:t>
      </w:r>
      <w:r>
        <w:rPr>
          <w:rFonts w:ascii="Times New Roman;sans-serif" w:hAnsi="Times New Roman;sans-serif"/>
          <w:b w:val="false"/>
          <w:color w:val="000000"/>
          <w:sz w:val="24"/>
        </w:rPr>
        <w:t>Counterparts. This Amendment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spacing w:lineRule="auto" w:line="240" w:before="0" w:after="120"/>
        <w:ind w:left="0" w:right="0" w:firstLine="720"/>
        <w:jc w:val="both"/>
        <w:rPr/>
      </w:pPr>
      <w:r>
        <w:rPr>
          <w:rFonts w:ascii="Times New Roman;sans-serif" w:hAnsi="Times New Roman;sans-serif"/>
          <w:b w:val="false"/>
          <w:color w:val="000000"/>
          <w:sz w:val="24"/>
        </w:rPr>
        <w:t>SECTION 7.</w:t>
      </w:r>
      <w:r>
        <w:rPr>
          <w:rFonts w:ascii="Times New Roman;sans-serif" w:hAnsi="Times New Roman;sans-serif"/>
          <w:b w:val="false"/>
          <w:color w:val="000000"/>
          <w:sz w:val="24"/>
        </w:rPr>
        <w:t>Captions. The headings of the Sections of this Amendment are provided solely for convenience of reference and shall not modify, define, expand or limit any of the terms or provisions of this Amendment.</w:t>
      </w:r>
    </w:p>
    <w:p>
      <w:pPr>
        <w:pStyle w:val="TextBody"/>
        <w:spacing w:lineRule="auto" w:line="240" w:before="0" w:after="120"/>
        <w:ind w:left="0" w:right="0" w:firstLine="720"/>
        <w:jc w:val="both"/>
        <w:rPr/>
      </w:pPr>
      <w:r>
        <w:rPr>
          <w:rFonts w:ascii="Times New Roman;sans-serif" w:hAnsi="Times New Roman;sans-serif"/>
          <w:b w:val="false"/>
          <w:color w:val="000000"/>
          <w:sz w:val="24"/>
        </w:rPr>
        <w:t>SECTION 8.</w:t>
      </w:r>
      <w:r>
        <w:rPr>
          <w:rFonts w:ascii="Times New Roman;sans-serif" w:hAnsi="Times New Roman;sans-serif"/>
          <w:b w:val="false"/>
          <w:color w:val="000000"/>
          <w:sz w:val="24"/>
        </w:rPr>
        <w:t xml:space="preserve">Successors and permitted assigns. The terms of this Amendment shall be binding upon, and shall inure to the benefit of, the Borrower, the Servicer, the Administrative Agent, the Group Agents, the Lenders, and, with respect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the Performance Guarantor and their respective successors and permitted assigns.</w:t>
      </w:r>
    </w:p>
    <w:p>
      <w:pPr>
        <w:pStyle w:val="TextBody"/>
        <w:spacing w:lineRule="auto" w:line="240" w:before="0" w:after="120"/>
        <w:ind w:left="0" w:right="0" w:firstLine="720"/>
        <w:jc w:val="both"/>
        <w:rPr/>
      </w:pPr>
      <w:r>
        <w:rPr>
          <w:rFonts w:ascii="Times New Roman;sans-serif" w:hAnsi="Times New Roman;sans-serif"/>
          <w:b w:val="false"/>
          <w:color w:val="000000"/>
          <w:sz w:val="24"/>
        </w:rPr>
        <w:t>SECTION 9.</w:t>
      </w:r>
      <w:r>
        <w:rPr>
          <w:rFonts w:ascii="Times New Roman;sans-serif" w:hAnsi="Times New Roman;sans-serif"/>
          <w:b w:val="false"/>
          <w:color w:val="000000"/>
          <w:sz w:val="24"/>
        </w:rPr>
        <w:t>Severability. Any provision of this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spacing w:lineRule="auto" w:line="240" w:before="0" w:after="120"/>
        <w:ind w:left="0" w:right="0" w:firstLine="720"/>
        <w:jc w:val="both"/>
        <w:rPr/>
      </w:pPr>
      <w:r>
        <w:rPr>
          <w:rFonts w:ascii="Times New Roman;sans-serif" w:hAnsi="Times New Roman;sans-serif"/>
          <w:b w:val="false"/>
          <w:color w:val="000000"/>
          <w:sz w:val="24"/>
        </w:rPr>
        <w:t>SECTION 10.</w:t>
      </w:r>
      <w:r>
        <w:rPr>
          <w:rFonts w:ascii="Times New Roman;sans-serif" w:hAnsi="Times New Roman;sans-serif"/>
          <w:b w:val="false"/>
          <w:color w:val="000000"/>
          <w:sz w:val="24"/>
        </w:rPr>
        <w:t>Governing Law and Jurisdiction. The provisions of the Receivables Financing Agreement with respect to governing law, jurisdiction, and agent for service of process are incorporated in this Amendment by reference as if such provisions were set forth herein.</w:t>
      </w:r>
    </w:p>
    <w:p>
      <w:pPr>
        <w:pStyle w:val="TextBody"/>
        <w:spacing w:lineRule="auto" w:line="240" w:before="0" w:after="360"/>
        <w:ind w:left="0" w:right="0" w:firstLine="720"/>
        <w:jc w:val="both"/>
        <w:rPr/>
      </w:pPr>
      <w:r>
        <w:rPr>
          <w:rFonts w:ascii="Times New Roman;sans-serif" w:hAnsi="Times New Roman;sans-serif"/>
          <w:b w:val="false"/>
          <w:color w:val="000000"/>
          <w:sz w:val="24"/>
        </w:rPr>
        <w:t>SECTION 11.</w:t>
      </w:r>
      <w:r>
        <w:rPr>
          <w:rFonts w:ascii="Times New Roman;sans-serif" w:hAnsi="Times New Roman;sans-serif"/>
          <w:b w:val="false"/>
          <w:color w:val="000000"/>
          <w:sz w:val="24"/>
        </w:rPr>
        <w:t>Ratification of Performance Guarantee. After giving effect to this Amendment, all of the provisions of the Performance Guaranty shall remain in full force and effect and the Performance Guarantor hereby ratifies and affirms the Performance Guaranty and acknowledges that the Performance Guaranty has continued and shall continue in full force and effect in accordance with its terms.</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[REMAINDER OF PAGE INTENTIONALLY LEFT BLANK]</w:t>
      </w:r>
    </w:p>
    <w:p>
      <w:pPr>
        <w:pStyle w:val="TextBody"/>
        <w:spacing w:before="0" w:after="24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2100"/>
                <wp:effectExtent l="0" t="0" r="0" b="0"/>
                <wp:wrapNone/>
                <wp:docPr id="47" name="Frame4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v:textbox>
              </v:rect>
            </w:pict>
          </mc:Fallback>
        </mc:AlternateContent>
      </w:r>
    </w:p>
    <w:p>
      <w:pPr>
        <w:pStyle w:val="TextBody"/>
        <w:spacing w:lineRule="auto" w:line="240" w:before="0" w:after="6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Amendment by their duly authorized officers as of the date first above written.</w:t>
      </w:r>
    </w:p>
    <w:p>
      <w:pPr>
        <w:pStyle w:val="TextBody"/>
        <w:spacing w:lineRule="auto" w:line="240" w:before="0" w:after="0"/>
        <w:jc w:val="both"/>
        <w:rPr/>
      </w:pPr>
      <w:r>
        <w:rPr>
          <w:rFonts w:ascii="Times New Roman;sans-serif" w:hAnsi="Times New Roman;sans-serif"/>
          <w:b/>
          <w:color w:val="000000"/>
          <w:sz w:val="24"/>
        </w:rPr>
        <w:t>INTEGRA RECEIVABLES LLC</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Borrower</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Matthieu Aussermeier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Matthieu Aussermeier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Treasurer                </w:t>
      </w:r>
    </w:p>
    <w:p>
      <w:pPr>
        <w:pStyle w:val="TextBody"/>
        <w:spacing w:lineRule="auto" w:line="240" w:before="0" w:after="0"/>
        <w:jc w:val="both"/>
        <w:rPr/>
      </w:pPr>
      <w:r>
        <w:rPr>
          <w:rFonts w:ascii="Times New Roman;sans-serif" w:hAnsi="Times New Roman;sans-serif"/>
          <w:b/>
          <w:color w:val="000000"/>
          <w:sz w:val="24"/>
        </w:rPr>
        <w:t>INTEGRA LIFESCIENCES SALES LLC</w:t>
      </w:r>
      <w:r>
        <w:rPr>
          <w:rFonts w:ascii="Times New Roman;sans-serif" w:hAnsi="Times New Roman;sans-serif"/>
          <w:b w:val="false"/>
          <w:color w:val="000000"/>
          <w:sz w:val="24"/>
        </w:rPr>
        <w: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the Servicer </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By: Integra LifeSciences Corporation, its sole member</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Matthieu Aussermeier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Matthieu Aussermeier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Treasurer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xbxContent>
                </v:textbox>
              </v:rect>
            </w:pict>
          </mc:Fallback>
        </mc:AlternateContent>
      </w:r>
    </w:p>
    <w:p>
      <w:pPr>
        <w:pStyle w:val="TextBody"/>
        <w:spacing w:lineRule="auto" w:line="240" w:before="0" w:after="600"/>
        <w:jc w:val="both"/>
        <w:rPr/>
      </w:pPr>
      <w:r>
        <w:rPr>
          <w:rFonts w:ascii="Times New Roman;sans-serif" w:hAnsi="Times New Roman;sans-serif"/>
          <w:b w:val="false"/>
          <w:color w:val="000000"/>
          <w:sz w:val="24"/>
        </w:rPr>
        <w:t xml:space="preserve">Acknowledged and reaffirmed by, with respect to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hereof, as of the date first written above:                </w:t>
      </w:r>
    </w:p>
    <w:p>
      <w:pPr>
        <w:pStyle w:val="TextBody"/>
        <w:spacing w:lineRule="auto" w:line="240" w:before="0" w:after="0"/>
        <w:rPr/>
      </w:pPr>
      <w:r>
        <w:rPr>
          <w:rFonts w:ascii="Times New Roman;sans-serif" w:hAnsi="Times New Roman;sans-serif"/>
          <w:b/>
          <w:color w:val="000000"/>
          <w:sz w:val="24"/>
        </w:rPr>
        <w:t>INTEGRA LIFESCIENCES HOLDINGS CORPORATION</w:t>
      </w:r>
      <w:r>
        <w:rPr>
          <w:rFonts w:ascii="Times New Roman;sans-serif" w:hAnsi="Times New Roman;sans-serif"/>
          <w:b w:val="false"/>
          <w:color w:val="000000"/>
          <w:sz w:val="24"/>
        </w:rPr>
        <w:t xml:space="preserve">, </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as the Performance Guarantor</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u w:val="single"/>
        </w:rPr>
        <w:t>/s/ Matthieu Aussermeier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Matthieu Aussermeier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xml:space="preserve">     </w:t>
      </w:r>
      <w:r>
        <w:rPr>
          <w:rFonts w:ascii="Times New Roman;sans-serif" w:hAnsi="Times New Roman;sans-serif"/>
          <w:b w:val="false"/>
          <w:color w:val="000000"/>
          <w:sz w:val="24"/>
          <w:u w:val="single"/>
        </w:rPr>
        <w:t>Treasurer                    </w:t>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S-2</w:t>
                      </w:r>
                    </w:p>
                  </w:txbxContent>
                </v:textbox>
              </v:rect>
            </w:pict>
          </mc:Fallback>
        </mc:AlternateContent>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Administrative Agent</w:t>
      </w:r>
    </w:p>
    <w:p>
      <w:pPr>
        <w:pStyle w:val="TextBody"/>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Bruno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Eric Bruno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Senior Vice President            </w:t>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Group Agent for the PNC Group</w:t>
      </w:r>
    </w:p>
    <w:p>
      <w:pPr>
        <w:pStyle w:val="TextBody"/>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Bruno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Eric Bruno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Senior Vice President            </w:t>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a Committed Lender</w:t>
      </w:r>
    </w:p>
    <w:p>
      <w:pPr>
        <w:pStyle w:val="TextBody"/>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Bruno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Eric Bruno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Senior Vice President            </w:t>
      </w:r>
    </w:p>
    <w:p>
      <w:pPr>
        <w:pStyle w:val="TextBody"/>
        <w:spacing w:before="0" w:after="60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S-3</w:t>
                      </w:r>
                    </w:p>
                  </w:txbxContent>
                </v:textbox>
              </v:rect>
            </w:pict>
          </mc:Fallback>
        </mc:AlternateConten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Acknowledged and agreed to by, as of the date first written above:    </w:t>
      </w:r>
    </w:p>
    <w:p>
      <w:pPr>
        <w:pStyle w:val="TextBody"/>
        <w:spacing w:lineRule="auto" w:line="240" w:before="0" w:after="0"/>
        <w:rPr/>
      </w:pPr>
      <w:r>
        <w:rPr>
          <w:rFonts w:ascii="Times New Roman;sans-serif" w:hAnsi="Times New Roman;sans-serif"/>
          <w:b/>
          <w:color w:val="000000"/>
          <w:sz w:val="24"/>
        </w:rPr>
        <w:t>PNC CAPITAL MARKETS LLC</w:t>
      </w:r>
      <w:r>
        <w:rPr>
          <w:rFonts w:ascii="Times New Roman;sans-serif" w:hAnsi="Times New Roman;sans-serif"/>
          <w:b w:val="false"/>
          <w:color w:val="000000"/>
          <w:sz w:val="24"/>
        </w:rPr>
        <w:t xml:space="preserve">, </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as the Structuring Agent</w:t>
      </w:r>
    </w:p>
    <w:p>
      <w:pPr>
        <w:pStyle w:val="TextBody"/>
        <w:spacing w:lineRule="auto" w:line="240" w:before="0" w:after="0"/>
        <w:jc w:val="both"/>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Eric Bruno                </w:t>
      </w:r>
    </w:p>
    <w:p>
      <w:pPr>
        <w:pStyle w:val="TextBody"/>
        <w:spacing w:lineRule="auto" w:line="240" w:before="0" w:after="0"/>
        <w:jc w:val="both"/>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Eric Bruno                </w:t>
      </w:r>
    </w:p>
    <w:p>
      <w:pPr>
        <w:pStyle w:val="TextBody"/>
        <w:spacing w:lineRule="auto" w:line="240" w:before="0" w:after="0"/>
        <w:jc w:val="both"/>
        <w:rPr/>
      </w:pPr>
      <w:r>
        <w:rPr>
          <w:rFonts w:ascii="Times New Roman;sans-serif" w:hAnsi="Times New Roman;sans-serif"/>
          <w:b w:val="false"/>
          <w:color w:val="000000"/>
          <w:sz w:val="24"/>
        </w:rPr>
        <w:t xml:space="preserve">Title: </w:t>
      </w:r>
      <w:r>
        <w:rPr>
          <w:color w:val="000000"/>
          <w:u w:val="single"/>
        </w:rPr>
        <w:t>    </w:t>
      </w:r>
      <w:r>
        <w:rPr>
          <w:rFonts w:ascii="Times New Roman;sans-serif" w:hAnsi="Times New Roman;sans-serif"/>
          <w:b w:val="false"/>
          <w:color w:val="000000"/>
          <w:sz w:val="24"/>
          <w:u w:val="single"/>
        </w:rPr>
        <w:t>Managing Director            </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right"/>
                        <w:rPr>
                          <w:rFonts w:ascii="Times New Roman;sans-serif" w:hAnsi="Times New Roman;sans-serif"/>
                          <w:b w:val="false"/>
                          <w:i/>
                          <w:color w:val="000000"/>
                          <w:sz w:val="20"/>
                        </w:rPr>
                      </w:pPr>
                      <w:r>
                        <w:rPr>
                          <w:rFonts w:ascii="Times New Roman;sans-serif" w:hAnsi="Times New Roman;sans-serif"/>
                          <w:b w:val="false"/>
                          <w:i/>
                          <w:color w:val="000000"/>
                          <w:sz w:val="20"/>
                        </w:rPr>
                        <w:t>Amendment No. 4 to RFA (Integra)</w: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S-4</w:t>
                      </w:r>
                    </w:p>
                  </w:txbxContent>
                </v:textbox>
              </v:rect>
            </w:pict>
          </mc:Fallback>
        </mc:AlternateContent>
      </w:r>
    </w:p>
    <w:p>
      <w:pPr>
        <w:pStyle w:val="TextBody"/>
        <w:spacing w:lineRule="auto" w:line="240" w:before="0" w:after="36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A to Amendment No. 4 to RFA</w:t>
      </w:r>
    </w:p>
    <w:p>
      <w:pPr>
        <w:pStyle w:val="TextBody"/>
        <w:spacing w:lineRule="auto" w:line="240"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CONFORMED RECEIVABLES FINANCING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u w:val="single"/>
        </w:rPr>
      </w:pPr>
      <w:r>
        <w:rPr>
          <w:rFonts w:ascii="Times New Roman;sans-serif" w:hAnsi="Times New Roman;sans-serif"/>
          <w:b/>
          <w:color w:val="000000"/>
          <w:sz w:val="24"/>
          <w:u w:val="single"/>
        </w:rPr>
        <w:t>E</w:t>
      </w:r>
      <w:r>
        <w:rPr>
          <w:rFonts w:ascii="Times New Roman;sans-serif" w:hAnsi="Times New Roman;sans-serif"/>
          <w:b/>
          <w:color w:val="000000"/>
          <w:sz w:val="24"/>
          <w:u w:val="single"/>
        </w:rPr>
        <w:t>xhibit A to Amendment No. 4</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2100"/>
                <wp:effectExtent l="0" t="0" r="0" b="0"/>
                <wp:wrapNone/>
                <wp:docPr id="52" name="Frame5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323.3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spacing w:lineRule="auto" w:line="240" w:before="0" w:after="0"/>
                        <w:rPr>
                          <w:rFonts w:ascii="Arial;sans-serif" w:hAnsi="Arial;sans-serif"/>
                          <w:b w:val="false"/>
                          <w:color w:val="000000"/>
                          <w:sz w:val="16"/>
                        </w:rPr>
                      </w:pPr>
                      <w:r>
                        <w:rPr>
                          <w:rFonts w:ascii="Arial;sans-serif" w:hAnsi="Arial;sans-serif"/>
                          <w:b w:val="false"/>
                          <w:color w:val="000000"/>
                          <w:sz w:val="16"/>
                        </w:rPr>
                        <w:t>123470162\V-4</w:t>
                      </w:r>
                    </w:p>
                  </w:txbxContent>
                </v:textbox>
              </v:rect>
            </w:pict>
          </mc:Fallback>
        </mc:AlternateContent>
      </w:r>
    </w:p>
    <w:p>
      <w:pPr>
        <w:pStyle w:val="TextBody"/>
        <w:spacing w:lineRule="auto" w:line="240" w:before="2800" w:after="240"/>
        <w:jc w:val="center"/>
        <w:rPr>
          <w:rFonts w:ascii="Times New Roman;sans-serif" w:hAnsi="Times New Roman;sans-serif"/>
          <w:b/>
          <w:color w:val="000000"/>
          <w:sz w:val="24"/>
        </w:rPr>
      </w:pPr>
      <w:r>
        <w:rPr>
          <w:rFonts w:ascii="Times New Roman;sans-serif" w:hAnsi="Times New Roman;sans-serif"/>
          <w:b/>
          <w:color w:val="000000"/>
          <w:sz w:val="24"/>
        </w:rPr>
        <w:t>RECEIVABLES FINANCING AGREEMENT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December 21, 2018</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by and among</w:t>
      </w:r>
    </w:p>
    <w:p>
      <w:pPr>
        <w:pStyle w:val="TextBody"/>
        <w:spacing w:lineRule="auto" w:line="240" w:before="0" w:after="0"/>
        <w:jc w:val="center"/>
        <w:rPr/>
      </w:pPr>
      <w:r>
        <w:rPr>
          <w:rFonts w:ascii="Times New Roman;sans-serif" w:hAnsi="Times New Roman;sans-serif"/>
          <w:b/>
          <w:color w:val="000000"/>
          <w:sz w:val="24"/>
        </w:rPr>
        <w:t>INTEGRA RECEIVABLES LLC</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Borrower,</w:t>
      </w:r>
    </w:p>
    <w:p>
      <w:pPr>
        <w:pStyle w:val="TextBody"/>
        <w:spacing w:lineRule="auto" w:line="240" w:before="0" w:after="0"/>
        <w:jc w:val="center"/>
        <w:rPr/>
      </w:pPr>
      <w:r>
        <w:rPr>
          <w:rFonts w:ascii="Times New Roman;sans-serif" w:hAnsi="Times New Roman;sans-serif"/>
          <w:b/>
          <w:color w:val="000000"/>
          <w:sz w:val="24"/>
        </w:rPr>
        <w:t>THE PERSONS FROM TIME TO TIME PARTY HERETO</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as Lenders and as Group Agents,</w:t>
      </w:r>
    </w:p>
    <w:p>
      <w:pPr>
        <w:pStyle w:val="TextBody"/>
        <w:spacing w:lineRule="auto" w:line="240" w:before="0" w:after="0"/>
        <w:jc w:val="center"/>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Administrative Agent,</w:t>
      </w:r>
    </w:p>
    <w:p>
      <w:pPr>
        <w:pStyle w:val="TextBody"/>
        <w:spacing w:lineRule="auto" w:line="240" w:before="0" w:after="0"/>
        <w:jc w:val="center"/>
        <w:rPr/>
      </w:pPr>
      <w:r>
        <w:rPr>
          <w:rFonts w:ascii="Times New Roman;sans-serif" w:hAnsi="Times New Roman;sans-serif"/>
          <w:b/>
          <w:color w:val="000000"/>
          <w:sz w:val="24"/>
        </w:rPr>
        <w:t>INTEGRA LIFESCIENCES SALES LLC</w:t>
      </w:r>
      <w:r>
        <w:rPr>
          <w:rFonts w:ascii="Times New Roman;sans-serif" w:hAnsi="Times New Roman;sans-serif"/>
          <w:b w:val="false"/>
          <w:color w:val="000000"/>
          <w:sz w:val="24"/>
        </w:rPr>
        <w:t>,</w:t>
      </w:r>
    </w:p>
    <w:p>
      <w:pPr>
        <w:pStyle w:val="TextBody"/>
        <w:spacing w:lineRule="auto" w:line="240"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initial Servicer,</w:t>
      </w:r>
    </w:p>
    <w:p>
      <w:pPr>
        <w:pStyle w:val="TextBody"/>
        <w:spacing w:lineRule="auto" w:line="240" w:before="0" w:after="24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and</w:t>
      </w:r>
    </w:p>
    <w:p>
      <w:pPr>
        <w:pStyle w:val="TextBody"/>
        <w:spacing w:lineRule="auto" w:line="240" w:before="0" w:after="0"/>
        <w:jc w:val="center"/>
        <w:rPr/>
      </w:pPr>
      <w:r>
        <w:rPr>
          <w:rFonts w:ascii="Times New Roman;sans-serif" w:hAnsi="Times New Roman;sans-serif"/>
          <w:b/>
          <w:color w:val="000000"/>
          <w:sz w:val="24"/>
          <w:u w:val="single"/>
        </w:rPr>
        <w:t>PNC CAPITAL MARKETS LLC</w:t>
      </w:r>
      <w:r>
        <w:rPr>
          <w:rFonts w:ascii="Times New Roman;sans-serif" w:hAnsi="Times New Roman;sans-serif"/>
          <w:b w:val="false"/>
          <w:color w:val="000000"/>
          <w:sz w:val="24"/>
          <w:u w:val="single"/>
        </w:rPr>
        <w:t xml:space="preserve">, </w:t>
      </w:r>
    </w:p>
    <w:p>
      <w:pPr>
        <w:pStyle w:val="TextBody"/>
        <w:spacing w:lineRule="auto" w:line="240" w:before="0" w:after="120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as Structuring Agent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10205" w:type="dxa"/>
        <w:jc w:val="left"/>
        <w:tblInd w:w="0" w:type="dxa"/>
        <w:tblCellMar>
          <w:top w:w="28" w:type="dxa"/>
          <w:left w:w="28" w:type="dxa"/>
          <w:bottom w:w="28" w:type="dxa"/>
          <w:right w:w="28" w:type="dxa"/>
        </w:tblCellMar>
      </w:tblPr>
      <w:tblGrid>
        <w:gridCol w:w="1798"/>
        <w:gridCol w:w="1301"/>
        <w:gridCol w:w="1305"/>
        <w:gridCol w:w="1736"/>
        <w:gridCol w:w="1683"/>
        <w:gridCol w:w="2382"/>
      </w:tblGrid>
      <w:tr>
        <w:trPr/>
        <w:tc>
          <w:tcPr>
            <w:tcW w:w="1798"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I DEFINITIONS</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Certain Defined Terms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Other Interpretative Matters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39</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II TERMS OF THE LOANS</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Loan Facility</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39</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Making Loans; Repayment of Loans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40</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Interest and Fees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42</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Records of Loans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42</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Selection of Interest Rates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43</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2.06.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Defaulting Lenders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43</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III SETTLEMENT PROCEDURES AND PAYMENT PROVISIONS</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3.01.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Settlement Procedures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44</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3.02.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Payments and Computations, Etc</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47</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IV INCREASED COSTS; FUNDING LOSSES; TAXES; ILLEGALITY AND SECURITY INTEREST</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Increased Costs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47</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Funding Losses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49</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Taxes</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49</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Conforming Changes Relating to Term SOFR or Daily 1M SOFR</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53</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Security Interest</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54</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Rate Unascertainable; Illegality; Benchmark Replacement Setting.</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55</w:t>
              </w:r>
            </w:hyperlink>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4.07.</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Benchmark Replacement Notification</w:t>
              </w:r>
            </w:hyperlink>
          </w:p>
        </w:tc>
        <w:tc>
          <w:tcPr>
            <w:tcW w:w="580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57</w:t>
              </w:r>
            </w:hyperlink>
          </w:p>
        </w:tc>
      </w:tr>
    </w:tbl>
    <w:p>
      <w:pPr>
        <w:pStyle w:val="TextBody"/>
        <w:spacing w:lineRule="auto" w:line="240" w:before="0" w:after="0"/>
        <w:jc w:val="center"/>
        <w:rPr>
          <w:rFonts w:ascii="Times New Roman;sans-serif" w:hAnsi="Times New Roman;sans-serif"/>
          <w:b/>
          <w:color w:val="000000"/>
          <w:sz w:val="24"/>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70230"/>
                <wp:effectExtent l="0" t="0" r="0" b="0"/>
                <wp:wrapNone/>
                <wp:docPr id="54" name="Frame54"/>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10205" w:type="dxa"/>
        <w:jc w:val="left"/>
        <w:tblInd w:w="0" w:type="dxa"/>
        <w:tblCellMar>
          <w:top w:w="28" w:type="dxa"/>
          <w:left w:w="28" w:type="dxa"/>
          <w:bottom w:w="28" w:type="dxa"/>
          <w:right w:w="28" w:type="dxa"/>
        </w:tblCellMar>
      </w:tblPr>
      <w:tblGrid>
        <w:gridCol w:w="1987"/>
        <w:gridCol w:w="1535"/>
        <w:gridCol w:w="1538"/>
        <w:gridCol w:w="1789"/>
        <w:gridCol w:w="1389"/>
        <w:gridCol w:w="1967"/>
      </w:tblGrid>
      <w:tr>
        <w:trPr/>
        <w:tc>
          <w:tcPr>
            <w:tcW w:w="1987"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389"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r>
      <w:tr>
        <w:trPr/>
        <w:tc>
          <w:tcPr>
            <w:tcW w:w="5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V CONDITIONS to Effectiveness and CREDIT EXTENSIONS</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5.01.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Conditions Precedent to Effectiveness and the Initial Credit Extension</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58</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5.02.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Conditions Precedent to All Credit Extensions</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58</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5.03.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Conditions Precedent to All Releases</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59</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VI REPRESENTATIONS AND WARRANTIES</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6.01.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Representations and Warranties of the Borrower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60</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6.02.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Representations and Warranties of the Servicer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65</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VII COVENANTS</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7.01.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Covenants of the Borrower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69</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7.02.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Covenants of the Servicer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78</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7.03.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Separate Existence of the Borrower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84</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7.04.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Financial Covenant</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87</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VIII ADMINISTRATION AND COLLECTION OF RECEIVABLES</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Appointment of the Servicer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88</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Duties of the Servicer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89</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Collection Account Arrangements</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90</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Enforcement Rights</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91</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Responsibilities of the Borrower</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92</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8.06.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Servicing Fee</w:t>
              </w:r>
            </w:hyperlink>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93</w:t>
              </w:r>
            </w:hyperlink>
          </w:p>
        </w:tc>
      </w:tr>
      <w:tr>
        <w:trPr/>
        <w:tc>
          <w:tcPr>
            <w:tcW w:w="5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IX EVENTS OF DEFAULT</w:t>
              </w:r>
            </w:hyperlink>
          </w:p>
        </w:tc>
      </w:tr>
    </w:tbl>
    <w:p>
      <w:pPr>
        <w:pStyle w:val="TextBody"/>
        <w:spacing w:lineRule="auto" w:line="240" w:before="0" w:after="0"/>
        <w:jc w:val="center"/>
        <w:rPr>
          <w:rFonts w:ascii="Times New Roman;sans-serif" w:hAnsi="Times New Roman;sans-serif"/>
          <w:b/>
          <w:color w:val="000000"/>
          <w:sz w:val="24"/>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70230"/>
                <wp:effectExtent l="0" t="0" r="0" b="0"/>
                <wp:wrapNone/>
                <wp:docPr id="55" name="Frame55"/>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10205" w:type="dxa"/>
        <w:jc w:val="left"/>
        <w:tblInd w:w="0" w:type="dxa"/>
        <w:tblCellMar>
          <w:top w:w="28" w:type="dxa"/>
          <w:left w:w="28" w:type="dxa"/>
          <w:bottom w:w="28" w:type="dxa"/>
          <w:right w:w="28" w:type="dxa"/>
        </w:tblCellMar>
      </w:tblPr>
      <w:tblGrid>
        <w:gridCol w:w="2333"/>
        <w:gridCol w:w="1849"/>
        <w:gridCol w:w="1852"/>
        <w:gridCol w:w="1213"/>
        <w:gridCol w:w="1213"/>
        <w:gridCol w:w="1745"/>
      </w:tblGrid>
      <w:tr>
        <w:trPr/>
        <w:tc>
          <w:tcPr>
            <w:tcW w:w="2333"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c>
          <w:tcPr>
            <w:tcW w:w="1852"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213"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9.01.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Events of Default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93</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X THE ADMINISTRATIVE AGENT</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Authorization and Action</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97</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Administrative Agent’s Reliance, Etc</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97</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Administrative Agent and Affiliates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97</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Indemnification of Administrative Agent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98</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Delegation of Duties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98</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Action or Inaction by Administrative Agent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98</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10.07.</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Notice of Events of Default; Action by Administrative Agent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98</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10.08.</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Non-Reliance on Administrative Agent and Other Parties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99</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10.09.</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Successor Administrative Agent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99</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10.10.</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Structuring Agent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99</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10.11.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Erroneous Payment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100</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XI THE GROUP AGENTS</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Authorization and Action</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101</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Group Agent’s Reliance, Etc</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101</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Group Agent and Affiliates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102</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Indemnification of Group Agents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102</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Delegation of Duties</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102</w:t>
              </w:r>
            </w:hyperlink>
          </w:p>
        </w:tc>
      </w:tr>
      <w:tr>
        <w:trPr/>
        <w:tc>
          <w:tcPr>
            <w:tcW w:w="60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Notice of Events of Default</w:t>
              </w:r>
            </w:hyperlink>
          </w:p>
        </w:tc>
        <w:tc>
          <w:tcPr>
            <w:tcW w:w="41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102</w:t>
              </w:r>
            </w:hyperlink>
          </w:p>
        </w:tc>
      </w:tr>
    </w:tbl>
    <w:p>
      <w:pPr>
        <w:pStyle w:val="TextBody"/>
        <w:spacing w:lineRule="auto" w:line="240" w:before="0" w:after="0"/>
        <w:jc w:val="center"/>
        <w:rPr>
          <w:rFonts w:ascii="Times New Roman;sans-serif" w:hAnsi="Times New Roman;sans-serif"/>
          <w:b/>
          <w:color w:val="000000"/>
          <w:sz w:val="24"/>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70230"/>
                <wp:effectExtent l="0" t="0" r="0" b="0"/>
                <wp:wrapNone/>
                <wp:docPr id="56" name="Frame56"/>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162.15pt;mso-position-horizontal:left;mso-position-horizontal-relative:text">
                <v:textbo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10205" w:type="dxa"/>
        <w:jc w:val="left"/>
        <w:tblInd w:w="0" w:type="dxa"/>
        <w:tblCellMar>
          <w:top w:w="28" w:type="dxa"/>
          <w:left w:w="28" w:type="dxa"/>
          <w:bottom w:w="28" w:type="dxa"/>
          <w:right w:w="28" w:type="dxa"/>
        </w:tblCellMar>
      </w:tblPr>
      <w:tblGrid>
        <w:gridCol w:w="2406"/>
        <w:gridCol w:w="2091"/>
        <w:gridCol w:w="2098"/>
        <w:gridCol w:w="1051"/>
        <w:gridCol w:w="1051"/>
        <w:gridCol w:w="1508"/>
      </w:tblGrid>
      <w:tr>
        <w:trPr/>
        <w:tc>
          <w:tcPr>
            <w:tcW w:w="2406"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11.07.</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Non-Reliance on Group Agent and Other Parties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11.08.</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Successor Group Agent</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11.09.</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Reliance on Group Agent</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XII INDEMNIFICATION</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12.01.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Indemnities by the Borrower</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12.02.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Indemnification by the Servicer</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107</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ARTICLE XIII MISCELLANEOUS</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Amendments, Etc</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108</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Notices, Etc</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109</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Assignability; Addition of Lenders; Removal of Lenders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109</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Costs and Expenses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No Proceedings; Limitation on Payments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113</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Confidentiality</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114</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13.07.</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GOVERNING LAW</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116</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13.08.</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Execution in Counterparts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116</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13.09.</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Integration; Binding Effect; Survival of Termination</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116</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13.10.</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CONSENT TO JURISDICTION</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116</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13.11.</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WAIVER OF JURY TRIAL</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117</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13.12.</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Ratable Payments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117</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13.13.</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Limitation of Liability</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117</w:t>
              </w:r>
            </w:hyperlink>
          </w:p>
        </w:tc>
      </w:tr>
      <w:tr>
        <w:trPr/>
        <w:tc>
          <w:tcPr>
            <w:tcW w:w="659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13.14.</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Intent of the Parties</w:t>
              </w:r>
            </w:hyperlink>
          </w:p>
        </w:tc>
        <w:tc>
          <w:tcPr>
            <w:tcW w:w="36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118</w:t>
              </w:r>
            </w:hyperlink>
          </w:p>
        </w:tc>
      </w:tr>
    </w:tbl>
    <w:p>
      <w:pPr>
        <w:pStyle w:val="TextBody"/>
        <w:spacing w:lineRule="auto" w:line="240" w:before="0" w:after="0"/>
        <w:jc w:val="center"/>
        <w:rPr>
          <w:rFonts w:ascii="Times New Roman;sans-serif" w:hAnsi="Times New Roman;sans-serif"/>
          <w:b/>
          <w:color w:val="000000"/>
          <w:sz w:val="24"/>
        </w:rPr>
      </w:pPr>
      <w:r>
        <w:br w:type="page"/>
      </w: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70230"/>
                <wp:effectExtent l="0" t="0" r="0" b="0"/>
                <wp:wrapNone/>
                <wp:docPr id="57" name="Frame57"/>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162.15pt;mso-position-horizontal:left;mso-position-horizontal-relative:text">
                <v:textbo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tbl>
      <w:tblPr>
        <w:tblW w:w="5521" w:type="dxa"/>
        <w:jc w:val="left"/>
        <w:tblInd w:w="0" w:type="dxa"/>
        <w:tblCellMar>
          <w:top w:w="28" w:type="dxa"/>
          <w:left w:w="28" w:type="dxa"/>
          <w:bottom w:w="28" w:type="dxa"/>
          <w:right w:w="28" w:type="dxa"/>
        </w:tblCellMar>
      </w:tblPr>
      <w:tblGrid>
        <w:gridCol w:w="1816"/>
        <w:gridCol w:w="1594"/>
        <w:gridCol w:w="1600"/>
        <w:gridCol w:w="149"/>
        <w:gridCol w:w="149"/>
        <w:gridCol w:w="213"/>
      </w:tblGrid>
      <w:tr>
        <w:trPr/>
        <w:tc>
          <w:tcPr>
            <w:tcW w:w="1816"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13.15.</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USA Patriot Act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118</w:t>
              </w:r>
            </w:hyperlink>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13.16.</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Right of Setoff</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118</w:t>
              </w:r>
            </w:hyperlink>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13.17.</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Severability</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119</w:t>
              </w:r>
            </w:hyperlink>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13.18.</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Mutual Negotiations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119</w:t>
              </w:r>
            </w:hyperlink>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8080"/>
                  <w:sz w:val="24"/>
                  <w:u w:val="none"/>
                  <w:effect w:val="none"/>
                </w:rPr>
                <w:t>SECTION 13.19.</w:t>
              </w:r>
            </w:hyperlink>
            <w:hyperlink w:anchor="i29d3ee780415406894d01c68f622cdf1_76">
              <w:r>
                <w:rPr>
                  <w:rStyle w:val="InternetLink"/>
                  <w:strike w:val="false"/>
                  <w:dstrike w:val="false"/>
                  <w:color w:val="000000"/>
                  <w:u w:val="none"/>
                  <w:effect w:val="none"/>
                </w:rPr>
                <w:t>    </w:t>
              </w:r>
            </w:hyperlink>
            <w:hyperlink w:anchor="i29d3ee780415406894d01c68f622cdf1_76">
              <w:r>
                <w:rPr>
                  <w:rStyle w:val="InternetLink"/>
                  <w:rFonts w:ascii="Times New Roman;sans-serif" w:hAnsi="Times New Roman;sans-serif"/>
                  <w:b w:val="false"/>
                  <w:strike w:val="false"/>
                  <w:dstrike w:val="false"/>
                  <w:color w:val="008080"/>
                  <w:sz w:val="24"/>
                  <w:u w:val="none"/>
                  <w:effect w:val="none"/>
                </w:rPr>
                <w:t>Captions and Cross References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9d3ee780415406894d01c68f622cdf1_76">
              <w:r>
                <w:rPr>
                  <w:rStyle w:val="InternetLink"/>
                  <w:rFonts w:ascii="Times New Roman;sans-serif" w:hAnsi="Times New Roman;sans-serif"/>
                  <w:b w:val="false"/>
                  <w:strike w:val="false"/>
                  <w:dstrike w:val="false"/>
                  <w:color w:val="000000"/>
                  <w:sz w:val="24"/>
                  <w:u w:val="none"/>
                  <w:effect w:val="none"/>
                </w:rPr>
                <w:t>119</w:t>
              </w:r>
            </w:hyperlink>
          </w:p>
        </w:tc>
      </w:tr>
    </w:tbl>
    <w:p>
      <w:pPr>
        <w:pStyle w:val="TextBody"/>
        <w:spacing w:before="0" w:after="0"/>
        <w:rPr/>
      </w:pPr>
      <w:r>
        <w:rPr/>
      </w:r>
    </w:p>
    <w:p>
      <w:pPr>
        <w:pStyle w:val="TextBody"/>
        <w:spacing w:before="0" w:after="0"/>
        <w:rPr/>
      </w:pPr>
      <w:r>
        <w:rPr/>
      </w:r>
    </w:p>
    <w:p>
      <w:pPr>
        <w:pStyle w:val="TextBody"/>
        <w:spacing w:before="0" w:after="240"/>
        <w:rPr/>
      </w:pPr>
      <w:r>
        <w:rPr/>
      </w:r>
      <w:r>
        <w:br w:type="page"/>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w:t>
      </w:r>
      <w:r>
        <w:rPr>
          <w:rFonts w:ascii="Times New Roman;sans-serif" w:hAnsi="Times New Roman;sans-serif"/>
          <w:b/>
          <w:color w:val="000000"/>
          <w:sz w:val="24"/>
        </w:rPr>
        <w:t>ABLE OF CONTENTS</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70230"/>
                <wp:effectExtent l="0" t="0" r="0" b="0"/>
                <wp:wrapNone/>
                <wp:docPr id="58" name="Frame58"/>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162.15pt;mso-position-horizontal:left;mso-position-horizontal-relative:text">
                <v:textbox>
                  <w:txbxContent>
                    <w:tbl>
                      <w:tblPr>
                        <w:tblW w:w="1089" w:type="dxa"/>
                        <w:jc w:val="left"/>
                        <w:tblInd w:w="0" w:type="dxa"/>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(continued)</w:t>
      </w:r>
    </w:p>
    <w:p>
      <w:pPr>
        <w:pStyle w:val="TextBody"/>
        <w:spacing w:lineRule="auto" w:line="240" w:before="0" w:after="44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spacing w:lineRule="auto" w:line="240" w:before="0" w:after="24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A        –    Form of Loan Request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B        –    Form of Reduction Notice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C            Form of Assignment and Acceptance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D        –    Form of Assumption Agreement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E        –    Credit and Collection Procedures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F        –    Form of Information Package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G        –    Form of Compliance Certificate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EXHIBIT H        –    Closing Memorandum</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EXHIBIT I            Form of Interim Report</w:t>
      </w:r>
    </w:p>
    <w:p>
      <w:pPr>
        <w:pStyle w:val="TextBody"/>
        <w:spacing w:lineRule="auto" w:line="240" w:before="0" w:after="24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SCHEDULES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SCHEDULE I        –    Commitments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SCHEDULE II    –    Lock-Boxes, Collection Accounts and Collection Account Banks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SCHEDULE III    –    Notice Addresses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SCHEDULE IV    –    Excluded Obligors and Originators</w:t>
      </w:r>
    </w:p>
    <w:p>
      <w:pPr>
        <w:pStyle w:val="TextBody"/>
        <w:spacing w:before="0" w:after="19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70230"/>
                <wp:effectExtent l="0" t="0" r="0" b="0"/>
                <wp:wrapNone/>
                <wp:docPr id="59" name="Frame59"/>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0pt;mso-position-horizontal:left;mso-position-horizontal-relative:text">
                <v:textbox>
                  <w:txbxContent>
                    <w:tbl>
                      <w:tblPr>
                        <w:tblW w:w="1148" w:type="dxa"/>
                        <w:jc w:val="left"/>
                        <w:tblInd w:w="0" w:type="dxa"/>
                        <w:tblCellMar>
                          <w:top w:w="28" w:type="dxa"/>
                          <w:left w:w="28" w:type="dxa"/>
                          <w:bottom w:w="28" w:type="dxa"/>
                          <w:right w:w="28" w:type="dxa"/>
                        </w:tblCellMar>
                      </w:tblPr>
                      <w:tblGrid>
                        <w:gridCol w:w="124"/>
                        <w:gridCol w:w="109"/>
                        <w:gridCol w:w="109"/>
                        <w:gridCol w:w="144"/>
                        <w:gridCol w:w="144"/>
                        <w:gridCol w:w="14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This RECEIVABLES FINANCING AGREEMENT (as amended, restated, supplemented or otherwise modified from time to time,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December 21, 2018 by and among the following parties:</w:t>
      </w:r>
    </w:p>
    <w:p>
      <w:pPr>
        <w:pStyle w:val="TextBody"/>
        <w:spacing w:lineRule="auto" w:line="240" w:before="0" w:after="240"/>
        <w:ind w:left="0" w:right="0" w:firstLine="720"/>
        <w:jc w:val="both"/>
        <w:rPr/>
      </w:pPr>
      <w:r>
        <w:rPr>
          <w:rFonts w:ascii="Times New Roman;sans-serif" w:hAnsi="Times New Roman;sans-serif"/>
          <w:b w:val="false"/>
          <w:color w:val="000000"/>
          <w:sz w:val="24"/>
        </w:rPr>
        <w:t>(i)    INTEGRA RECEIVABLES LLC, a Delaware limited liability company, as Borrower (together with its successors and assigns,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the Persons from time to time party hereto as Lenders and as Group Agents;</w:t>
      </w:r>
    </w:p>
    <w:p>
      <w:pPr>
        <w:pStyle w:val="TextBody"/>
        <w:spacing w:lineRule="auto" w:line="240" w:before="0" w:after="240"/>
        <w:ind w:left="0" w:right="0" w:firstLine="720"/>
        <w:jc w:val="both"/>
        <w:rPr/>
      </w:pPr>
      <w:r>
        <w:rPr>
          <w:rFonts w:ascii="Times New Roman;sans-serif" w:hAnsi="Times New Roman;sans-serif"/>
          <w:b w:val="false"/>
          <w:color w:val="000000"/>
          <w:sz w:val="24"/>
        </w:rPr>
        <w:t>(iii)    PNC BANK, NATIONAL ASSOCIATION (“</w:t>
      </w:r>
      <w:r>
        <w:rPr>
          <w:rFonts w:ascii="Times New Roman;sans-serif" w:hAnsi="Times New Roman;sans-serif"/>
          <w:b w:val="false"/>
          <w:color w:val="000000"/>
          <w:sz w:val="24"/>
          <w:u w:val="single"/>
        </w:rPr>
        <w:t>PNC</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as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4"/>
        </w:rPr>
        <w:t>(iv)    INTEGRA LIFESCIENCES SALES LLC, a Delaware limited liability company, in its individual capacity (“</w:t>
      </w:r>
      <w:r>
        <w:rPr>
          <w:rFonts w:ascii="Times New Roman;sans-serif" w:hAnsi="Times New Roman;sans-serif"/>
          <w:b w:val="false"/>
          <w:color w:val="000000"/>
          <w:sz w:val="24"/>
          <w:u w:val="single"/>
        </w:rPr>
        <w:t>Integra Sales</w:t>
      </w:r>
      <w:r>
        <w:rPr>
          <w:color w:val="000000"/>
        </w:rPr>
        <w:t>”</w:t>
      </w:r>
      <w:r>
        <w:rPr>
          <w:rFonts w:ascii="Times New Roman;sans-serif" w:hAnsi="Times New Roman;sans-serif"/>
          <w:b w:val="false"/>
          <w:color w:val="000000"/>
          <w:sz w:val="24"/>
        </w:rPr>
        <w:t>) and as initial servicer (in such capacity, together with its successors and assigns in such capacity,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    PNC CAPITAL MARKETS LLC, a Pennsylvania limited liability company, as Structuring Agent.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PRELIMINARY STATEMENTS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has acquired, and will acquire from time to time, Receivables from the Originator(s) pursuant to the Purchase and Sale Agreement. The Borrower has requested that the Lenders make Loans from time to time to the Borrower, on the terms, and subject to the conditions set forth herein, secured by, among other things, the Receivables.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consideration of the mutual agreements, provisions and covenants contained herein, the sufficiency of which is hereby acknowledged, the parties hereto agree as follows:</w:t>
      </w:r>
    </w:p>
    <w:p>
      <w:pPr>
        <w:pStyle w:val="TextBody"/>
        <w:spacing w:lineRule="auto" w:line="240" w:before="0" w:after="240"/>
        <w:jc w:val="center"/>
        <w:rPr/>
      </w:pPr>
      <w:r>
        <w:rPr>
          <w:rFonts w:ascii="Times New Roman;sans-serif" w:hAnsi="Times New Roman;sans-serif"/>
          <w:b/>
          <w:color w:val="000000"/>
          <w:sz w:val="24"/>
        </w:rPr>
        <w:t>ARTICLE 1</w:t>
      </w:r>
      <w:r>
        <w:rPr>
          <w:rFonts w:ascii="Times New Roman;sans-serif" w:hAnsi="Times New Roman;sans-serif"/>
          <w:b/>
          <w:color w:val="000000"/>
          <w:sz w:val="24"/>
        </w:rPr>
        <w:br/>
        <w:br/>
        <w:t>DEFINITIONS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Certain Defined Terms. As used in this Agreement, the following terms shall have the following meanings (such meanings to be equally applicable to both the singular and plural forms of the terms defined):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Account Control Agreement</w:t>
      </w:r>
      <w:r>
        <w:rPr>
          <w:color w:val="000000"/>
        </w:rPr>
        <w:t xml:space="preserve">” </w:t>
      </w:r>
      <w:r>
        <w:rPr>
          <w:rFonts w:ascii="Times New Roman;sans-serif" w:hAnsi="Times New Roman;sans-serif"/>
          <w:b w:val="false"/>
          <w:color w:val="000000"/>
          <w:sz w:val="24"/>
        </w:rPr>
        <w:t>means each agreement, in form and substance satisfactory to the Administrative Agent, among the Borrower, the Servicer (if applicable), the Administrative Agent and a Collection Account Bank, governing the terms of the related Collection Accounts that (i) provides the Administrative Agent with control within the meaning of the UCC over the deposit accounts subject to such agreement and (ii) by its terms, may not be terminated or canceled by the related Collection Account Bank without the written consent of the Administrative Agent or upon no less than sixty (60) calendar days’ prior written notice to the Administrative Agent, as the same may be amended, restated, supplemented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Adjusted Net Receivables Pool Balance</w:t>
      </w:r>
      <w:r>
        <w:rPr>
          <w:color w:val="000000"/>
        </w:rPr>
        <w:t xml:space="preserve">” </w:t>
      </w:r>
      <w:r>
        <w:rPr>
          <w:rFonts w:ascii="Times New Roman;sans-serif" w:hAnsi="Times New Roman;sans-serif"/>
          <w:b w:val="false"/>
          <w:color w:val="000000"/>
          <w:sz w:val="24"/>
        </w:rPr>
        <w:t>means an amount equal to (a) the Net Receivables Pool Balance minus (b) the greater of (i) the Specifically Reserved Dilution Amount and (ii) zero.</w:t>
      </w:r>
      <w:r>
        <w:br w:type="page"/>
      </w: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60" name="Frame60"/>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Administrative Agent</w:t>
      </w:r>
      <w:r>
        <w:rPr>
          <w:color w:val="000000"/>
        </w:rPr>
        <w:t xml:space="preserve">” </w:t>
      </w:r>
      <w:r>
        <w:rPr>
          <w:rFonts w:ascii="Times New Roman;sans-serif" w:hAnsi="Times New Roman;sans-serif"/>
          <w:b w:val="false"/>
          <w:color w:val="000000"/>
          <w:sz w:val="24"/>
        </w:rPr>
        <w:t xml:space="preserve">means PNC, in its capacity as contractual representative for the Credit Parties, and any successor thereto in such capacity appointed pursuant to </w:t>
      </w:r>
      <w:r>
        <w:rPr>
          <w:rFonts w:ascii="Times New Roman;sans-serif" w:hAnsi="Times New Roman;sans-serif"/>
          <w:b w:val="false"/>
          <w:color w:val="000000"/>
          <w:sz w:val="24"/>
          <w:u w:val="single"/>
        </w:rPr>
        <w:t>Article X or Section 13.03(g)</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Adverse Claim</w:t>
      </w:r>
      <w:r>
        <w:rPr>
          <w:color w:val="000000"/>
        </w:rPr>
        <w:t xml:space="preserve">” </w:t>
      </w:r>
      <w:r>
        <w:rPr>
          <w:rFonts w:ascii="Times New Roman;sans-serif" w:hAnsi="Times New Roman;sans-serif"/>
          <w:b w:val="false"/>
          <w:color w:val="000000"/>
          <w:sz w:val="24"/>
        </w:rPr>
        <w:t>means any ownership interest or claim, mortgage, deed of trust, pledge, lien, security interest, hypothecation, charge or other encumbrance or security arrangement of any nature whatsoever, whether voluntarily or involuntarily given, including, but not limited to,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 it being understood that any of the foregoing in favor of, or assigned to, the Administrative Agent (for the benefit of the Secured Parties) shall not constitute an Adverse Claim.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Advisors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13.06(c)</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Affected Person</w:t>
      </w:r>
      <w:r>
        <w:rPr>
          <w:color w:val="000000"/>
        </w:rPr>
        <w:t xml:space="preserve">” </w:t>
      </w:r>
      <w:r>
        <w:rPr>
          <w:rFonts w:ascii="Times New Roman;sans-serif" w:hAnsi="Times New Roman;sans-serif"/>
          <w:b w:val="false"/>
          <w:color w:val="000000"/>
          <w:sz w:val="24"/>
        </w:rPr>
        <w:t>means each Credit Party, each Program Support Provider, each Liquidity Agent and each of their respective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 xml:space="preserve">means, as to any Person: (a) any Person that, directly or indirectly, is in control of, is controlled by or is under common control with such Person or (b) who is a director or officer: (i) of such Person or (ii) of any Person described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except that, in the case of each Conduit Lender, Affiliate shall mean the holder(s) of its Capital Stock or membership interests, as the case may be. For purposes of this definition, control of a Person shall mean the power, direct or indirect, whether or not exercised: (x) to vote 25% or more of the securities having ordinary voting power for the election of directors or managers of such Person or (y) to direct or cause the direction of the management and policies of such Person, in either case whether by ownership of securities, contract, proxy or otherwise.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Capital</w:t>
      </w:r>
      <w:r>
        <w:rPr>
          <w:color w:val="000000"/>
        </w:rPr>
        <w:t xml:space="preserve">” </w:t>
      </w:r>
      <w:r>
        <w:rPr>
          <w:rFonts w:ascii="Times New Roman;sans-serif" w:hAnsi="Times New Roman;sans-serif"/>
          <w:b w:val="false"/>
          <w:color w:val="000000"/>
          <w:sz w:val="24"/>
        </w:rPr>
        <w:t>means, at any time of determination, the aggregate outstanding Capital of all Lenders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Aggregate Interest</w:t>
      </w:r>
      <w:r>
        <w:rPr>
          <w:color w:val="000000"/>
        </w:rPr>
        <w:t xml:space="preserve">” </w:t>
      </w:r>
      <w:r>
        <w:rPr>
          <w:rFonts w:ascii="Times New Roman;sans-serif" w:hAnsi="Times New Roman;sans-serif"/>
          <w:b w:val="false"/>
          <w:color w:val="000000"/>
          <w:sz w:val="24"/>
        </w:rPr>
        <w:t>means, at any time of determination, the aggregate accrued and unpaid Interest on the Loans of all Lenders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Agreement</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Alternative Currency</w:t>
      </w:r>
      <w:r>
        <w:rPr>
          <w:color w:val="000000"/>
        </w:rPr>
        <w:t xml:space="preserve">” </w:t>
      </w:r>
      <w:r>
        <w:rPr>
          <w:rFonts w:ascii="Times New Roman;sans-serif" w:hAnsi="Times New Roman;sans-serif"/>
          <w:b w:val="false"/>
          <w:color w:val="000000"/>
          <w:sz w:val="24"/>
        </w:rPr>
        <w:t>means each of Euro and GBP.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Anti-Terrorism Laws</w:t>
      </w:r>
      <w:r>
        <w:rPr>
          <w:color w:val="000000"/>
        </w:rPr>
        <w:t xml:space="preserve">” </w:t>
      </w:r>
      <w:r>
        <w:rPr>
          <w:rFonts w:ascii="Times New Roman;sans-serif" w:hAnsi="Times New Roman;sans-serif"/>
          <w:b w:val="false"/>
          <w:color w:val="000000"/>
          <w:sz w:val="24"/>
        </w:rPr>
        <w:t>means any Applicable Law relating to terrorism financing, trade sanctions programs and embargoes, import/export licensing, money laundering or bribery, and any regulation, order, or directive promulgated, issued or enforced pursuant to such Applicable Laws, all as amended, supplemented or replaced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Applicable Law</w:t>
      </w:r>
      <w:r>
        <w:rPr>
          <w:color w:val="000000"/>
        </w:rPr>
        <w:t xml:space="preserve">” </w:t>
      </w:r>
      <w:r>
        <w:rPr>
          <w:rFonts w:ascii="Times New Roman;sans-serif" w:hAnsi="Times New Roman;sans-serif"/>
          <w:b w:val="false"/>
          <w:color w:val="000000"/>
          <w:sz w:val="24"/>
        </w:rPr>
        <w:t>means, with respect to any Person, (x) all provisions of law, statute, treaty, constitution, ordinance, rule, regulation, ordinance, requirement, restriction, permit, executive order, certificate, decision, directive or order of any Governmental Authority applicable to such Person or any of its property and (y) all judgments, injunctions, orders, writs, decrees and awards of all courts and arbitrators in proceedings or actions in which such Person is a party or by which any of its property is bound. For the avoidance of doubt, FATCA shall constitute an “Applicable Law” for all purposes 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Assignment and Acceptance Agreement</w:t>
      </w:r>
      <w:r>
        <w:rPr>
          <w:color w:val="000000"/>
        </w:rPr>
        <w:t xml:space="preserve">” </w:t>
      </w:r>
      <w:r>
        <w:rPr>
          <w:rFonts w:ascii="Times New Roman;sans-serif" w:hAnsi="Times New Roman;sans-serif"/>
          <w:b w:val="false"/>
          <w:color w:val="000000"/>
          <w:sz w:val="24"/>
        </w:rPr>
        <w:t xml:space="preserve">means an assignment and acceptance agreement entered into by a Committed Lender, an Eligible Assignee, such Committed Lender’s </w:t>
      </w:r>
      <w:r>
        <w:br w:type="page"/>
      </w: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2100"/>
                <wp:effectExtent l="0" t="0" r="0" b="0"/>
                <wp:wrapNone/>
                <wp:docPr id="61" name="Frame6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Group Agent and the Administrative Agent, and, if required, the Borrower, pursuant to which such Eligible Assignee may become a party to this Agreement, in substantially the form of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Assumption Agreement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13.03(i)</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Attorney Costs</w:t>
      </w:r>
      <w:r>
        <w:rPr>
          <w:color w:val="000000"/>
        </w:rPr>
        <w:t xml:space="preserve">” </w:t>
      </w:r>
      <w:r>
        <w:rPr>
          <w:rFonts w:ascii="Times New Roman;sans-serif" w:hAnsi="Times New Roman;sans-serif"/>
          <w:b w:val="false"/>
          <w:color w:val="000000"/>
          <w:sz w:val="24"/>
        </w:rPr>
        <w:t>means and includes all fees, costs, expenses and disbursements of any law firm or other external counsel and all disbursements of internal counsel.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Available Tenor</w:t>
      </w:r>
      <w:r>
        <w:rPr>
          <w:color w:val="000000"/>
        </w:rPr>
        <w:t xml:space="preserve">” </w:t>
      </w:r>
      <w:r>
        <w:rPr>
          <w:rFonts w:ascii="Times New Roman;sans-serif" w:hAnsi="Times New Roman;sans-serif"/>
          <w:b w:val="false"/>
          <w:color w:val="000000"/>
          <w:sz w:val="24"/>
        </w:rPr>
        <w:t xml:space="preserve">means, as of any date of determination and with respect to the then-current Benchmark, as applicable, if such Benchmark (a) is Term SOFR or Daily 1M SOFR, one (1) month, and (b)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w:t>
      </w:r>
      <w:r>
        <w:rPr>
          <w:rFonts w:ascii="Times New Roman;sans-serif" w:hAnsi="Times New Roman;sans-serif"/>
          <w:b w:val="false"/>
          <w:color w:val="000000"/>
          <w:sz w:val="24"/>
          <w:u w:val="single"/>
        </w:rPr>
        <w:t>Section 4.06(d)(iv)</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Bankruptcy Code</w:t>
      </w:r>
      <w:r>
        <w:rPr>
          <w:color w:val="000000"/>
        </w:rPr>
        <w:t xml:space="preserve">” </w:t>
      </w:r>
      <w:r>
        <w:rPr>
          <w:rFonts w:ascii="Times New Roman;sans-serif" w:hAnsi="Times New Roman;sans-serif"/>
          <w:b w:val="false"/>
          <w:color w:val="000000"/>
          <w:sz w:val="24"/>
        </w:rPr>
        <w:t>means the United States Bankruptcy Reform Act of 1978 (11 U.S.C. § 101, et seq.), as amended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Base Rate</w:t>
      </w:r>
      <w:r>
        <w:rPr>
          <w:color w:val="000000"/>
        </w:rPr>
        <w:t xml:space="preserve">” </w:t>
      </w:r>
      <w:r>
        <w:rPr>
          <w:rFonts w:ascii="Times New Roman;sans-serif" w:hAnsi="Times New Roman;sans-serif"/>
          <w:b w:val="false"/>
          <w:color w:val="000000"/>
          <w:sz w:val="24"/>
        </w:rPr>
        <w:t xml:space="preserve">means, for any day and any Lender, a fluctuating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as shall be in effect from time to time, which rate shall be at all times equal to the greater 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rate of interest in effect for such day as publicly announced from time to time by the applicable Group Agent or its Affiliate as its “reference rate” or “prime rate”, as applicable. Such “reference rate” or “prime rate” is set by the applicable Group Agent or its Affiliate based upon various factors, including such Person’s costs and desired return, general economic conditions and other factors, and is used as a reference point for pricing some loans, which may be priced at, above or below such announced rate, and is not necessarily the lowest rate charged to any customer; and</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(2)a half percent (0.50%)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above the latest Overnight Bank Funding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Base Rate Loan</w:t>
      </w:r>
      <w:r>
        <w:rPr>
          <w:color w:val="000000"/>
        </w:rPr>
        <w:t xml:space="preserve">” </w:t>
      </w:r>
      <w:r>
        <w:rPr>
          <w:rFonts w:ascii="Times New Roman;sans-serif" w:hAnsi="Times New Roman;sans-serif"/>
          <w:b w:val="false"/>
          <w:color w:val="000000"/>
          <w:sz w:val="24"/>
        </w:rPr>
        <w:t>means a Loan bearing interest at the Base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w:t>
      </w:r>
      <w:r>
        <w:rPr>
          <w:color w:val="000000"/>
        </w:rPr>
        <w:t xml:space="preserve">” </w:t>
      </w:r>
      <w:r>
        <w:rPr>
          <w:rFonts w:ascii="Times New Roman;sans-serif" w:hAnsi="Times New Roman;sans-serif"/>
          <w:b w:val="false"/>
          <w:color w:val="000000"/>
          <w:sz w:val="24"/>
        </w:rPr>
        <w:t xml:space="preserve">means, initially, the Term SOFR Rate or the Daily SOFR Rate,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 Benchmark Transition Event has occurred with respect to the then-current Benchmark,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4"/>
          <w:u w:val="single"/>
        </w:rPr>
        <w:t>Section 4.06</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w:t>
      </w:r>
      <w:r>
        <w:rPr>
          <w:color w:val="000000"/>
        </w:rPr>
        <w:t xml:space="preserve">” </w:t>
      </w:r>
      <w:r>
        <w:rPr>
          <w:rFonts w:ascii="Times New Roman;sans-serif" w:hAnsi="Times New Roman;sans-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the sum of: (A) Daily Simple SOFR, and (B) the SOFR Adjustment;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 </w:t>
      </w:r>
      <w:r>
        <w:br w:type="page"/>
      </w: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2100"/>
                <wp:effectExtent l="0" t="0" r="0" b="0"/>
                <wp:wrapNone/>
                <wp:docPr id="62" name="Frame6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the Benchmark Replacement as determined pursuant to </w:t>
      </w:r>
      <w:r>
        <w:rPr>
          <w:rFonts w:ascii="Times New Roman;sans-serif" w:hAnsi="Times New Roman;sans-serif"/>
          <w:b w:val="false"/>
          <w:color w:val="000000"/>
          <w:sz w:val="24"/>
          <w:u w:val="single"/>
        </w:rPr>
        <w:t>clause (2)</w:t>
      </w:r>
      <w:r>
        <w:rPr>
          <w:color w:val="000000"/>
        </w:rPr>
        <w:t xml:space="preserve"> </w:t>
      </w:r>
      <w:r>
        <w:rPr>
          <w:rFonts w:ascii="Times New Roman;sans-serif" w:hAnsi="Times New Roman;sans-serif"/>
          <w:b w:val="false"/>
          <w:color w:val="000000"/>
          <w:sz w:val="24"/>
        </w:rPr>
        <w:t>above would be less than the Floor, the Benchmark Replacement will be deemed to be the Floor for the purposes of this Agreement and the other Transaction Documents.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Replacement Date</w:t>
      </w:r>
      <w:r>
        <w:rPr>
          <w:color w:val="000000"/>
        </w:rPr>
        <w:t xml:space="preserve">” </w:t>
      </w:r>
      <w:r>
        <w:rPr>
          <w:rFonts w:ascii="Times New Roman;sans-serif" w:hAnsi="Times New Roman;sans-serif"/>
          <w:b w:val="false"/>
          <w:color w:val="000000"/>
          <w:sz w:val="24"/>
        </w:rPr>
        <w:t xml:space="preserve">means a date and time determined by the Administrative Agent, which date shall be no later than the earliest to occur of the following events with respect to the then-current Benchmark: </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 in the case of </w:t>
      </w:r>
      <w:r>
        <w:rPr>
          <w:rFonts w:ascii="Times New Roman;sans-serif" w:hAnsi="Times New Roman;sans-serif"/>
          <w:b w:val="false"/>
          <w:color w:val="000000"/>
          <w:sz w:val="24"/>
          <w:u w:val="single"/>
        </w:rPr>
        <w:t>clause (1)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w:t>
      </w:r>
      <w:r>
        <w:rPr>
          <w:color w:val="000000"/>
        </w:rPr>
        <w:t xml:space="preserve"> </w:t>
      </w:r>
      <w:r>
        <w:rPr>
          <w:rFonts w:ascii="Times New Roman;sans-serif" w:hAnsi="Times New Roman;sans-serif"/>
          <w:b w:val="false"/>
          <w:color w:val="000000"/>
          <w:sz w:val="24"/>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 in the case of </w:t>
      </w:r>
      <w:r>
        <w:rPr>
          <w:rFonts w:ascii="Times New Roman;sans-serif" w:hAnsi="Times New Roman;sans-serif"/>
          <w:b w:val="false"/>
          <w:color w:val="000000"/>
          <w:sz w:val="24"/>
          <w:u w:val="single"/>
        </w:rPr>
        <w:t>clause (3)</w:t>
      </w:r>
      <w:r>
        <w:rPr>
          <w:color w:val="000000"/>
        </w:rPr>
        <w:t xml:space="preserve"> </w:t>
      </w:r>
      <w:r>
        <w:rPr>
          <w:rFonts w:ascii="Times New Roman;sans-serif" w:hAnsi="Times New Roman;sans-serif"/>
          <w:b w:val="false"/>
          <w:color w:val="000000"/>
          <w:sz w:val="24"/>
        </w:rPr>
        <w:t xml:space="preserve">of the definition of “Benchmark Transition Event,” the date determined by the Administrative Agent, which date shall promptly follow the date of the public statement or publication of information referenced therein; </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For the avoidance of doubt, if such Benchmark is a term rate or is based on a term rate, the “Benchmark Replacement Date” will be deemed to have occurred in the case of </w:t>
      </w:r>
      <w:r>
        <w:rPr>
          <w:rFonts w:ascii="Times New Roman;sans-serif" w:hAnsi="Times New Roman;sans-serif"/>
          <w:b w:val="false"/>
          <w:color w:val="000000"/>
          <w:sz w:val="24"/>
          <w:u w:val="single"/>
        </w:rPr>
        <w:t>clause (1)</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(2)</w:t>
      </w:r>
      <w:r>
        <w:rPr>
          <w:color w:val="000000"/>
        </w:rPr>
        <w:t xml:space="preserve"> </w:t>
      </w:r>
      <w:r>
        <w:rPr>
          <w:rFonts w:ascii="Times New Roman;sans-serif" w:hAnsi="Times New Roman;sans-serif"/>
          <w:b w:val="false"/>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at the time of such statement or publication, there is no successor administrator that will continue to provide any Available Tenor of such Benchmark (or such component thereof);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a public statement or publication of information by a Governmental Authority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w:t>
      </w:r>
      <w:r>
        <w:br w:type="page"/>
      </w: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2100"/>
                <wp:effectExtent l="0" t="0" r="0" b="0"/>
                <wp:wrapNone/>
                <wp:docPr id="63" name="Frame6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a public statement or publication of information by the regulatory supervisor for the administrator of such Benchmark (or the published component used in the calculation thereof) or a Governmental Authority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Benchmark Unavailability Period</w:t>
      </w:r>
      <w:r>
        <w:rPr>
          <w:color w:val="000000"/>
        </w:rPr>
        <w:t xml:space="preserve">” </w:t>
      </w:r>
      <w:r>
        <w:rPr>
          <w:rFonts w:ascii="Times New Roman;sans-serif" w:hAnsi="Times New Roman;sans-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Transaction Document in accordance with </w:t>
      </w:r>
      <w:r>
        <w:rPr>
          <w:rFonts w:ascii="Times New Roman;sans-serif" w:hAnsi="Times New Roman;sans-serif"/>
          <w:b w:val="false"/>
          <w:color w:val="000000"/>
          <w:sz w:val="24"/>
          <w:u w:val="single"/>
        </w:rPr>
        <w:t>Section 4.06(d)</w:t>
      </w:r>
      <w:r>
        <w:rPr>
          <w:color w:val="000000"/>
        </w:rPr>
        <w:t xml:space="preserve"> </w:t>
      </w:r>
      <w:r>
        <w:rPr>
          <w:rFonts w:ascii="Times New Roman;sans-serif" w:hAnsi="Times New Roman;sans-serif"/>
          <w:b w:val="false"/>
          <w:color w:val="000000"/>
          <w:sz w:val="24"/>
        </w:rPr>
        <w:t xml:space="preserve">and (y) ending at the time that a Benchmark Replacement has replaced the then-current Benchmark for all purposes hereunder and under any Transaction Document in accordance with </w:t>
      </w:r>
      <w:r>
        <w:rPr>
          <w:rFonts w:ascii="Times New Roman;sans-serif" w:hAnsi="Times New Roman;sans-serif"/>
          <w:b w:val="false"/>
          <w:color w:val="000000"/>
          <w:sz w:val="24"/>
          <w:u w:val="single"/>
        </w:rPr>
        <w:t>Section 4.06(d)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 xml:space="preserve">has the meaning specified in the </w:t>
      </w:r>
      <w:r>
        <w:rPr>
          <w:rFonts w:ascii="Times New Roman;sans-serif" w:hAnsi="Times New Roman;sans-serif"/>
          <w:b w:val="false"/>
          <w:color w:val="000000"/>
          <w:sz w:val="24"/>
          <w:u w:val="single"/>
        </w:rPr>
        <w:t>preamble to this Agreement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 Indemnified Amounts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12.01(a)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12.01(a)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 Obligations</w:t>
      </w:r>
      <w:r>
        <w:rPr>
          <w:color w:val="000000"/>
        </w:rPr>
        <w:t xml:space="preserve">” </w:t>
      </w:r>
      <w:r>
        <w:rPr>
          <w:rFonts w:ascii="Times New Roman;sans-serif" w:hAnsi="Times New Roman;sans-serif"/>
          <w:b w:val="false"/>
          <w:color w:val="000000"/>
          <w:sz w:val="24"/>
        </w:rPr>
        <w:t>means all present and future indebtedness, reimbursement obligations, and other liabilities and obligations (howsoever created, arising or evidenced, whether direct or indirect, absolute or contingent, or due or to become due) of the Borrower to any Credit Party, Borrower Indemnified Party and/or any Affected Person, arising under or in connection with this Agreement or any other Transaction Document or the transactions contemplated hereby or thereby, and shall include, without limitation, all Capital and Interest on the Loans, all Fees and all other amounts due or to become due under the Transaction Documents (whether in respect of fees, costs, expenses, indemnifications or otherwise), including, without limitation, interest, fees and other obligations that accrue after the commencement of any Insolvency Proceeding with respect to the Borrower (in each case whether or not allowed as a claim in such proceeding).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Borrower’s Net Worth</w:t>
      </w:r>
      <w:r>
        <w:rPr>
          <w:color w:val="000000"/>
        </w:rPr>
        <w:t xml:space="preserve">” </w:t>
      </w:r>
      <w:r>
        <w:rPr>
          <w:rFonts w:ascii="Times New Roman;sans-serif" w:hAnsi="Times New Roman;sans-serif"/>
          <w:b w:val="false"/>
          <w:color w:val="000000"/>
          <w:sz w:val="24"/>
        </w:rPr>
        <w:t xml:space="preserve">means, at any time of determination, an amount equal to (i) the Outstanding Balance of all Pool Receivables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 the sum of (A) the Aggregate Capital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Aggregate Interest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(C) the aggregate accrued and unpaid Fees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(D) the aggregate outstanding principal balance of all Subordinated Notes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(E) the aggregate accrued and unpaid interest on all Subordinated Notes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(F) without duplication, the aggregate accrued and unpaid other Borrower Obligations at such time.</w:t>
      </w:r>
      <w:r>
        <w:br w:type="page"/>
      </w: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2100"/>
                <wp:effectExtent l="0" t="0" r="0" b="0"/>
                <wp:wrapNone/>
                <wp:docPr id="64" name="Frame6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w:t>
      </w:r>
      <w:r>
        <w:rPr>
          <w:color w:val="000000"/>
        </w:rPr>
        <w:t xml:space="preserve">” </w:t>
      </w:r>
      <w:r>
        <w:rPr>
          <w:rFonts w:ascii="Times New Roman;sans-serif" w:hAnsi="Times New Roman;sans-serif"/>
          <w:b w:val="false"/>
          <w:color w:val="000000"/>
          <w:sz w:val="24"/>
        </w:rPr>
        <w:t xml:space="preserve">means, at any time of determination, the amount equal to the lesser of (a) the Facility Limit and (b) an amount equal to (i) the Adjusted Net Receivables Pool Balance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(ii) the Total Reserves at such time.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Borrowing Base Deficit</w:t>
      </w:r>
      <w:r>
        <w:rPr>
          <w:color w:val="000000"/>
        </w:rPr>
        <w:t xml:space="preserve">” </w:t>
      </w:r>
      <w:r>
        <w:rPr>
          <w:rFonts w:ascii="Times New Roman;sans-serif" w:hAnsi="Times New Roman;sans-serif"/>
          <w:b w:val="false"/>
          <w:color w:val="000000"/>
          <w:sz w:val="24"/>
        </w:rPr>
        <w:t xml:space="preserve">means, at any time of determination, the amount, if any, by which (a) the Aggregate Capital at such time, </w:t>
      </w:r>
      <w:r>
        <w:rPr>
          <w:rFonts w:ascii="Times New Roman;sans-serif" w:hAnsi="Times New Roman;sans-serif"/>
          <w:b w:val="false"/>
          <w:color w:val="000000"/>
          <w:sz w:val="24"/>
          <w:u w:val="single"/>
        </w:rPr>
        <w:t>exceeds</w:t>
      </w:r>
      <w:r>
        <w:rPr>
          <w:color w:val="000000"/>
        </w:rPr>
        <w:t xml:space="preserve"> </w:t>
      </w:r>
      <w:r>
        <w:rPr>
          <w:rFonts w:ascii="Times New Roman;sans-serif" w:hAnsi="Times New Roman;sans-serif"/>
          <w:b w:val="false"/>
          <w:color w:val="000000"/>
          <w:sz w:val="24"/>
        </w:rPr>
        <w:t xml:space="preserve">(b) the Borrowing Base at such time, or, in each case, if such day is not a Business Day, then the immediately preceding Business Day.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Breakage Fee</w:t>
      </w:r>
      <w:r>
        <w:rPr>
          <w:color w:val="000000"/>
        </w:rPr>
        <w:t xml:space="preserve">” </w:t>
      </w:r>
      <w:r>
        <w:rPr>
          <w:rFonts w:ascii="Times New Roman;sans-serif" w:hAnsi="Times New Roman;sans-serif"/>
          <w:b w:val="false"/>
          <w:color w:val="000000"/>
          <w:sz w:val="24"/>
        </w:rPr>
        <w:t xml:space="preserve">means (i) for any Interest Period for which Interest is computed by reference to the CP Rate, the Term SOFR Rate or the Daily SOFR Rate, as applicable, and a reduction of Capital is made for any reason on any day other than a Settlement Date or (ii) to the extent that the Borrower shall for any reason, fail to borrow on the date specified by the Borrower in connection with any request for funding pursuant to </w:t>
      </w:r>
      <w:r>
        <w:rPr>
          <w:rFonts w:ascii="Times New Roman;sans-serif" w:hAnsi="Times New Roman;sans-serif"/>
          <w:b w:val="false"/>
          <w:color w:val="000000"/>
          <w:sz w:val="24"/>
          <w:u w:val="single"/>
        </w:rPr>
        <w:t>Article II</w:t>
      </w:r>
      <w:r>
        <w:rPr>
          <w:color w:val="000000"/>
        </w:rPr>
        <w:t xml:space="preserve"> </w:t>
      </w:r>
      <w:r>
        <w:rPr>
          <w:rFonts w:ascii="Times New Roman;sans-serif" w:hAnsi="Times New Roman;sans-serif"/>
          <w:b w:val="false"/>
          <w:color w:val="000000"/>
          <w:sz w:val="24"/>
        </w:rPr>
        <w:t xml:space="preserve">of this Agreement, the amount, if any, by which (A) the additional Interest (calculated without taking into account any Breakage Fee or any shortened duration of such Interest Period pursuant to the definition thereof) which would have accrued during such Interest Period (or,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until the maturity of the underlying Note) on the reductions of Capital relating to such Interest Period had such reductions not been made (or, in the case of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above, the amounts so failed to be borrowed or accepted in connection with any such request for funding by the Borrower), exceeds (B) the income, if any, received by the applicable Lender from the investment of the proceeds of such reductions of Capital (or such amounts failed to be borrowed by the Borrower). A certificate as to the amount of any Breakage Fee (including the computation of such amount) shall be submitted by the affected Lender (or applicable Group Agent on its behalf) to the Borrower and shall be conclusive and binding for all purposes, absent manifest error.</w:t>
      </w:r>
    </w:p>
    <w:p>
      <w:pPr>
        <w:pStyle w:val="TextBody"/>
        <w:spacing w:lineRule="auto" w:line="240" w:before="0" w:after="240"/>
        <w:ind w:left="0" w:right="0" w:firstLine="720"/>
        <w:jc w:val="both"/>
        <w:rPr>
          <w:color w:val="000000"/>
          <w:u w:val="single"/>
        </w:rPr>
      </w:pPr>
      <w:r>
        <w:rPr>
          <w:color w:val="000000"/>
          <w:u w:val="single"/>
        </w:rPr>
        <w:t>“</w:t>
      </w:r>
      <w:r>
        <w:rPr>
          <w:rFonts w:ascii="Times New Roman;sans-serif" w:hAnsi="Times New Roman;sans-serif"/>
          <w:b w:val="false"/>
          <w:color w:val="000000"/>
          <w:sz w:val="24"/>
          <w:u w:val="single"/>
        </w:rPr>
        <w:t>Business Day” means any day other than a Saturday or Sunday or a legal holiday on which commercial banks are authorized or required to be closed, or are in fact closed, for business in Pittsburgh, Pennsylvania or New York, New York (or, if otherwise, any day other than a Saturday or Sunday or a legal holiday on which the lending office of the Administrative Agent is authorized or required to be closed, or is in fact closed, for business); provided, 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w:t>
      </w:r>
      <w:r>
        <w:rPr>
          <w:color w:val="000000"/>
        </w:rPr>
        <w:t xml:space="preserve">” </w:t>
      </w:r>
      <w:r>
        <w:rPr>
          <w:rFonts w:ascii="Times New Roman;sans-serif" w:hAnsi="Times New Roman;sans-serif"/>
          <w:b w:val="false"/>
          <w:color w:val="000000"/>
          <w:sz w:val="24"/>
        </w:rPr>
        <w:t xml:space="preserve">means, with respect to any Lender, without duplication, the aggregate amounts paid to, or on behalf of, the Borrower in connection with all Loans made by such Lender pursuant to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as reduced from time to time by Collections distributed and applied on account of such Capital pursuant to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Capital Stock</w:t>
      </w:r>
      <w:r>
        <w:rPr>
          <w:color w:val="000000"/>
        </w:rPr>
        <w:t xml:space="preserve">” </w:t>
      </w:r>
      <w:r>
        <w:rPr>
          <w:rFonts w:ascii="Times New Roman;sans-serif" w:hAnsi="Times New Roman;sans-serif"/>
          <w:b w:val="false"/>
          <w:color w:val="000000"/>
          <w:sz w:val="24"/>
        </w:rPr>
        <w:t>means, with respect to any Person, any and all common shares, preferred shares, interests, participations, rights in or other equivalents (however designated) of such Person’s capital stock, partnership interests, limited liability company interests, membership interests or other equivalent interests and any rights (other than debt securities convertible into or exchangeable for capital stock), warrants or options exchangeable for or convertible into such capital stock or other equity interests.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Control</w:t>
      </w:r>
      <w:r>
        <w:rPr>
          <w:color w:val="000000"/>
        </w:rPr>
        <w:t xml:space="preserve">” </w:t>
      </w:r>
      <w:r>
        <w:rPr>
          <w:rFonts w:ascii="Times New Roman;sans-serif" w:hAnsi="Times New Roman;sans-serif"/>
          <w:b w:val="false"/>
          <w:color w:val="000000"/>
          <w:sz w:val="24"/>
        </w:rPr>
        <w:t>means the occurrence of any of the following:</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(1)Integra LifeSciences Corporation ceases to own, directly, 100% of the issued and outstanding Capital Stock and all other equity interests of the Borrower free and clear of all Adverse Claims;</w:t>
      </w:r>
      <w:r>
        <w:br w:type="page"/>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2100"/>
                <wp:effectExtent l="0" t="0" r="0" b="0"/>
                <wp:wrapNone/>
                <wp:docPr id="65" name="Frame6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Parent ceases to own, directly or indirectly, 100% of the issued and outstanding Capital Stock, membership interests or other equity interests of any Originator free and clear of all Adverse Claims;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(3)any Subordinated Note shall at any time cease to be owned by an Originator, free and clear of all Adverse Claims;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(4)with respect to the Parent: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Person (or two or more Persons acting in concert) shall have acquired by contract or otherwise, or shall have entered into a contract or arrangement that, upon consummation thereof, will result in its or their acquisition of control over Voting Securities of the Borrower on a fully-diluted basis assuming the conversion and/or exercise of all outstanding Equity Interests of the Parent owned by such Person or Persons representing thirty percent (30%) or more of the combined voting power of all Voting Securities of the Parent;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(b)during any period of twenty four (24) consecutive months, a majority of the members of the board of directors or other equivalent governing body of the Parent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equivalent governing body was approved by individuals referred to in clauses (i) and (ii) above constituting at the time of such election or nomination at least a majority of that board or equivalent governing body.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Change in Law</w:t>
      </w:r>
      <w:r>
        <w:rPr>
          <w:color w:val="000000"/>
        </w:rPr>
        <w:t xml:space="preserve">” </w:t>
      </w:r>
      <w:r>
        <w:rPr>
          <w:rFonts w:ascii="Times New Roman;sans-serif" w:hAnsi="Times New Roman;sans-serif"/>
          <w:b w:val="false"/>
          <w:color w:val="000000"/>
          <w:sz w:val="24"/>
        </w:rPr>
        <w:t xml:space="preserve">means the occurrence, after the Closing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notwithstanding anything herein to the contrary, (w) the final rule titled </w:t>
      </w:r>
      <w:r>
        <w:rPr>
          <w:rFonts w:ascii="Times New Roman;sans-serif" w:hAnsi="Times New Roman;sans-serif"/>
          <w:b w:val="false"/>
          <w:i/>
          <w:color w:val="000000"/>
          <w:sz w:val="24"/>
        </w:rPr>
        <w:t>Risk-Based Capital Guidelines; Capital Adequacy Guidelines; Capital Maintenance: Regulatory Capital; Impact of Modifications to Generally Accepted Accounting Principles; Consolidation of Asset-Backed Commercial Paper Programs; and Other Related Issues</w:t>
      </w:r>
      <w:r>
        <w:rPr>
          <w:rFonts w:ascii="Times New Roman;sans-serif" w:hAnsi="Times New Roman;sans-serif"/>
          <w:b w:val="false"/>
          <w:color w:val="000000"/>
          <w:sz w:val="24"/>
        </w:rPr>
        <w:t>, adopted by the United States bank regulatory agencies on December 15, 2009,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the agreements reached by the Basel Committee on Banking Supervision in “Basel III: A Global Regulatory Framework for More Resilient Banks and Banking Systems” (as amended, supplemented or otherwise modified or replaced from time to time), shall in each case be deemed to be a “Change in Law”, regardless of the date enacted, adopted or issued.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Closing Date</w:t>
      </w:r>
      <w:r>
        <w:rPr>
          <w:color w:val="000000"/>
        </w:rPr>
        <w:t xml:space="preserve">” </w:t>
      </w:r>
      <w:r>
        <w:rPr>
          <w:rFonts w:ascii="Times New Roman;sans-serif" w:hAnsi="Times New Roman;sans-serif"/>
          <w:b w:val="false"/>
          <w:color w:val="000000"/>
          <w:sz w:val="24"/>
        </w:rPr>
        <w:t>means December 21, 2018.</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Code</w:t>
      </w:r>
      <w:r>
        <w:rPr>
          <w:color w:val="000000"/>
        </w:rPr>
        <w:t xml:space="preserve">” </w:t>
      </w:r>
      <w:r>
        <w:rPr>
          <w:rFonts w:ascii="Times New Roman;sans-serif" w:hAnsi="Times New Roman;sans-serif"/>
          <w:b w:val="false"/>
          <w:color w:val="000000"/>
          <w:sz w:val="24"/>
        </w:rPr>
        <w:t>means the Internal Revenue Code of 1986, as amended, reformed or otherwise modified from time to time.</w:t>
      </w:r>
      <w:r>
        <w:br w:type="page"/>
      </w: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2100"/>
                <wp:effectExtent l="0" t="0" r="0" b="0"/>
                <wp:wrapNone/>
                <wp:docPr id="66" name="Frame6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Collateral</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4.05(a)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Account</w:t>
      </w:r>
      <w:r>
        <w:rPr>
          <w:color w:val="000000"/>
        </w:rPr>
        <w:t xml:space="preserve">” </w:t>
      </w:r>
      <w:r>
        <w:rPr>
          <w:rFonts w:ascii="Times New Roman;sans-serif" w:hAnsi="Times New Roman;sans-serif"/>
          <w:b w:val="false"/>
          <w:color w:val="000000"/>
          <w:sz w:val="24"/>
        </w:rPr>
        <w:t>means each account listed on Schedule II to this Agreement (as such schedule may be modified from time to time in connection with the closing or opening of any Collection Account in accordance with the terms hereof), in each case, in the name of the Borrower and maintained at a bank or other financial institution acting as a Collection Account Bank pursuant to an Account Control Agreement for the purpose of receiving Collections.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 Account Bank</w:t>
      </w:r>
      <w:r>
        <w:rPr>
          <w:color w:val="000000"/>
        </w:rPr>
        <w:t xml:space="preserve">” </w:t>
      </w:r>
      <w:r>
        <w:rPr>
          <w:rFonts w:ascii="Times New Roman;sans-serif" w:hAnsi="Times New Roman;sans-serif"/>
          <w:b w:val="false"/>
          <w:color w:val="000000"/>
          <w:sz w:val="24"/>
        </w:rPr>
        <w:t>means any of the banks or other financial institutions holding one or more Collection Accounts.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Collections</w:t>
      </w:r>
      <w:r>
        <w:rPr>
          <w:color w:val="000000"/>
        </w:rPr>
        <w:t xml:space="preserve">” </w:t>
      </w:r>
      <w:r>
        <w:rPr>
          <w:rFonts w:ascii="Times New Roman;sans-serif" w:hAnsi="Times New Roman;sans-serif"/>
          <w:b w:val="false"/>
          <w:color w:val="000000"/>
          <w:sz w:val="24"/>
        </w:rPr>
        <w:t>means, with respect to any Pool Receivable: (a) all funds that are received by any Integra Party or any other Person on their behalf in payment of any amounts owed in respect of such Pool Receivable (including purchase price, finance charges, interest and all other charges), or applied to amounts owed in respect of such Pool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Deemed Collections, (c) all proceeds of all Related Security with respect to such Pool Receivable and (d) all other proceeds of such Pool Receivable.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Commitment</w:t>
      </w:r>
      <w:r>
        <w:rPr>
          <w:color w:val="000000"/>
        </w:rPr>
        <w:t xml:space="preserve">” </w:t>
      </w:r>
      <w:r>
        <w:rPr>
          <w:rFonts w:ascii="Times New Roman;sans-serif" w:hAnsi="Times New Roman;sans-serif"/>
          <w:b w:val="false"/>
          <w:color w:val="000000"/>
          <w:sz w:val="24"/>
        </w:rPr>
        <w:t xml:space="preserve">means, with respect to any Committed Lender (including a Related Committed Lender), the maximum aggregate amount which such Person is obligated to lend or pay hereunder on account of all Loans, on a combined basis, as set forth on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or in the Assumption Agreement or other agreement pursuant to which it became a Lender, as such amount may be modified in connection with any subsequent assignment pursuant to </w:t>
      </w:r>
      <w:r>
        <w:rPr>
          <w:rFonts w:ascii="Times New Roman;sans-serif" w:hAnsi="Times New Roman;sans-serif"/>
          <w:b w:val="false"/>
          <w:color w:val="000000"/>
          <w:sz w:val="24"/>
          <w:u w:val="single"/>
        </w:rPr>
        <w:t>Section 13.03</w:t>
      </w:r>
      <w:r>
        <w:rPr>
          <w:color w:val="000000"/>
        </w:rPr>
        <w:t xml:space="preserve"> </w:t>
      </w:r>
      <w:r>
        <w:rPr>
          <w:rFonts w:ascii="Times New Roman;sans-serif" w:hAnsi="Times New Roman;sans-serif"/>
          <w:b w:val="false"/>
          <w:color w:val="000000"/>
          <w:sz w:val="24"/>
        </w:rPr>
        <w:t xml:space="preserve">or in connection with a reduction in the Facility Limit pursuant to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If the context so requires, “Commitment” also refers to a Committed Lender’s obligation to make Loans hereunder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Committed Lenders</w:t>
      </w:r>
      <w:r>
        <w:rPr>
          <w:color w:val="000000"/>
        </w:rPr>
        <w:t xml:space="preserve">” </w:t>
      </w:r>
      <w:r>
        <w:rPr>
          <w:rFonts w:ascii="Times New Roman;sans-serif" w:hAnsi="Times New Roman;sans-serif"/>
          <w:b w:val="false"/>
          <w:color w:val="000000"/>
          <w:sz w:val="24"/>
        </w:rPr>
        <w:t>means PNC and each other Person that is or becomes a party to this Agreement in the capacity of a “Committed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Concentration Percentage</w:t>
      </w:r>
      <w:r>
        <w:rPr>
          <w:color w:val="000000"/>
        </w:rPr>
        <w:t xml:space="preserve">” </w:t>
      </w:r>
      <w:r>
        <w:rPr>
          <w:rFonts w:ascii="Times New Roman;sans-serif" w:hAnsi="Times New Roman;sans-serif"/>
          <w:b w:val="false"/>
          <w:color w:val="000000"/>
          <w:sz w:val="24"/>
        </w:rPr>
        <w:t>means (a) for any Group A Obligor, twenty percent (20.00%), (b) for any Group B Obligor, fifteen percent (15.00%), (c) for any Group C Obligor, ten percent (10.00%), (d) for the largest Group D Obligor, five percent (5.00%) and (e) for any Group D Obligor (excluding the largest Group D Obligor), three percent (3.00%).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Concentration Reserve Percentage</w:t>
      </w:r>
      <w:r>
        <w:rPr>
          <w:color w:val="000000"/>
        </w:rPr>
        <w:t xml:space="preserve">” </w:t>
      </w:r>
      <w:r>
        <w:rPr>
          <w:rFonts w:ascii="Times New Roman;sans-serif" w:hAnsi="Times New Roman;sans-serif"/>
          <w:b w:val="false"/>
          <w:color w:val="000000"/>
          <w:sz w:val="24"/>
        </w:rPr>
        <w:t>means, at any time of determination, the largest of: (a) the sum of the four (4) largest Obligor Percentages of the Group D Obligors, (b) the sum of the two (2) largest Obligor Percentages of the Group C Obligors, (c) the largest Obligor Percentage of the Group B Obligors and (d) twelve percent (12.00%).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Conduit Lender</w:t>
      </w:r>
      <w:r>
        <w:rPr>
          <w:color w:val="000000"/>
        </w:rPr>
        <w:t xml:space="preserve">” </w:t>
      </w:r>
      <w:r>
        <w:rPr>
          <w:rFonts w:ascii="Times New Roman;sans-serif" w:hAnsi="Times New Roman;sans-serif"/>
          <w:b w:val="false"/>
          <w:color w:val="000000"/>
          <w:sz w:val="24"/>
        </w:rPr>
        <w:t>means each commercial paper conduit that is or becomes a party to this Agreement in the capacity of a “Conduit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Conforming Changes</w:t>
      </w:r>
      <w:r>
        <w:rPr>
          <w:color w:val="000000"/>
        </w:rPr>
        <w:t xml:space="preserve">” </w:t>
      </w:r>
      <w:r>
        <w:rPr>
          <w:rFonts w:ascii="Times New Roman;sans-serif" w:hAnsi="Times New Roman;sans-serif"/>
          <w:b w:val="false"/>
          <w:color w:val="000000"/>
          <w:sz w:val="24"/>
        </w:rPr>
        <w:t xml:space="preserve">means, with respect to Term SOFR or Daily 1M SOFR, as applicable,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Administrative Agent decides may be </w:t>
      </w:r>
      <w:r>
        <w:br w:type="page"/>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2100"/>
                <wp:effectExtent l="0" t="0" r="0" b="0"/>
                <wp:wrapNone/>
                <wp:docPr id="67" name="Frame6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appropriate to reflect the adoption and implementation of any such rate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Transaction Documents).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Connection Income Taxes</w:t>
      </w:r>
      <w:r>
        <w:rPr>
          <w:color w:val="000000"/>
        </w:rPr>
        <w:t xml:space="preserve">”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Consolidated Total Leverage Ratio</w:t>
      </w:r>
      <w:r>
        <w:rPr>
          <w:color w:val="000000"/>
        </w:rPr>
        <w:t xml:space="preserve">” </w:t>
      </w:r>
      <w:r>
        <w:rPr>
          <w:rFonts w:ascii="Times New Roman;sans-serif" w:hAnsi="Times New Roman;sans-serif"/>
          <w:b w:val="false"/>
          <w:color w:val="000000"/>
          <w:sz w:val="24"/>
        </w:rPr>
        <w:t>shall have the same meaning attributed to such term in the Credit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Contract</w:t>
      </w:r>
      <w:r>
        <w:rPr>
          <w:color w:val="000000"/>
        </w:rPr>
        <w:t xml:space="preserve">” </w:t>
      </w:r>
      <w:r>
        <w:rPr>
          <w:rFonts w:ascii="Times New Roman;sans-serif" w:hAnsi="Times New Roman;sans-serif"/>
          <w:b w:val="false"/>
          <w:color w:val="000000"/>
          <w:sz w:val="24"/>
        </w:rPr>
        <w:t>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Controlled Group</w:t>
      </w:r>
      <w:r>
        <w:rPr>
          <w:color w:val="000000"/>
        </w:rPr>
        <w:t xml:space="preserve">” </w:t>
      </w:r>
      <w:r>
        <w:rPr>
          <w:rFonts w:ascii="Times New Roman;sans-serif" w:hAnsi="Times New Roman;sans-serif"/>
          <w:b w:val="false"/>
          <w:color w:val="000000"/>
          <w:sz w:val="24"/>
        </w:rPr>
        <w:t>means all members of a controlled group of corporations or other business entities and all trades or businesses (whether or not incorporated) under common control which, together with Parent or any of its Subsidiaries, are treated as a single employer under Section 414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Covered Entity</w:t>
      </w:r>
      <w:r>
        <w:rPr>
          <w:color w:val="000000"/>
        </w:rPr>
        <w:t xml:space="preserve">” </w:t>
      </w:r>
      <w:r>
        <w:rPr>
          <w:rFonts w:ascii="Times New Roman;sans-serif" w:hAnsi="Times New Roman;sans-serif"/>
          <w:b w:val="false"/>
          <w:color w:val="000000"/>
          <w:sz w:val="24"/>
        </w:rPr>
        <w:t>means (a) each Integra Party, the Parent and each of Parent’s Subsidiaries and (b) each Person that, directly or indirectly, is in control of a Person described in clause (a) above. For purposes of this definition, control of a Person shall mean the direct or indirect (x) ownership of, or power to vote, 25% or more of the issued and 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CP Rate</w:t>
      </w:r>
      <w:r>
        <w:rPr>
          <w:color w:val="000000"/>
        </w:rPr>
        <w:t xml:space="preserve">” </w:t>
      </w:r>
      <w:r>
        <w:rPr>
          <w:rFonts w:ascii="Times New Roman;sans-serif" w:hAnsi="Times New Roman;sans-serif"/>
          <w:b w:val="false"/>
          <w:color w:val="000000"/>
          <w:sz w:val="24"/>
        </w:rPr>
        <w:t xml:space="preserve">means, for any Conduit Lender and for any Interest Period for any Portion of Capital (a) the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rate equivalent to the weighted average cost (as determined by the applicable Group Agent and which shall include commissions of placement agents and dealers, incremental carrying costs incurred with respect to Notes of such Person maturing on dates other than those on which corresponding funds are received by such Conduit Lender, other borrowings by such Conduit Lender (other than under any Program Support Agreement) and any other costs associated with the issuance of Notes) of or related to the issuance of Notes that are allocated, in whole or in part, by the applicable Conduit Lender to fund or maintain such Portion of Capital (and which may be also allocated in part to the funding of other assets of such Conduit Lender);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any component of such rate is a discount rate, in calculating the “</w:t>
      </w:r>
      <w:r>
        <w:rPr>
          <w:rFonts w:ascii="Times New Roman;sans-serif" w:hAnsi="Times New Roman;sans-serif"/>
          <w:b w:val="false"/>
          <w:color w:val="000000"/>
          <w:sz w:val="24"/>
          <w:u w:val="single"/>
        </w:rPr>
        <w:t>CP Rate</w:t>
      </w:r>
      <w:r>
        <w:rPr>
          <w:color w:val="000000"/>
        </w:rPr>
        <w:t xml:space="preserve">” </w:t>
      </w:r>
      <w:r>
        <w:rPr>
          <w:rFonts w:ascii="Times New Roman;sans-serif" w:hAnsi="Times New Roman;sans-serif"/>
          <w:b w:val="false"/>
          <w:color w:val="000000"/>
          <w:sz w:val="24"/>
        </w:rPr>
        <w:t xml:space="preserve">for such Portion of Capital for such Interest Period, the applicable Group Agent shall for such component use the rate resulting from converting such discount rate to an interest bearing equivalent rate </w:t>
      </w:r>
      <w:r>
        <w:rPr>
          <w:rFonts w:ascii="Times New Roman;sans-serif" w:hAnsi="Times New Roman;sans-serif"/>
          <w:b w:val="false"/>
          <w:i/>
          <w:color w:val="000000"/>
          <w:sz w:val="24"/>
        </w:rPr>
        <w:t>per annum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notwithstanding anything in this Agreement or the other Transaction Documents to the contrary, the Borrower agrees that any amounts payable to Conduit Lenders in respect of Interest for any Interest Period with respect to any Portion of Capital funded by such Conduit Lenders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Conduit Lenders had not received payments of interest in respect of such interest </w:t>
      </w:r>
      <w:r>
        <w:br w:type="page"/>
      </w:r>
    </w:p>
    <w:p>
      <w:pPr>
        <w:pStyle w:val="TextBody"/>
        <w:spacing w:before="0" w:after="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2100"/>
                <wp:effectExtent l="0" t="0" r="0" b="0"/>
                <wp:wrapNone/>
                <wp:docPr id="68" name="Frame6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component prior to the maturity date of such maturing Notes (for purposes of the foregoing, the “interest component” of Notes equals the excess of the face amount thereof over the net proceeds received by such Conduit Lender from the issuance of Notes, except that if such Notes are issued on an interest-bearing basis its “interest component” will equal the amount of interest accruing on such Notes through maturity) or (b) any other rate designated as the “CP Rate” for such Conduit Lender in the Assumption Agreement or other document pursuant to which such Person becomes a party as a Conduit Lender to this Agreement, or any other writing or agreement provided by such Conduit Lender to the Borrower, the Servicer and the applicable Agent from time to time. The “CP Rate” for any Conduit Lender for any day while an Event of Default has occurred and is continuing shall be an interest rate equal to the greater of (i) 2.50%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above the Base Rate and (ii) 2.50%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above the “CP Rate” calculated without giving effect to such Event of Default.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Agreement</w:t>
      </w:r>
      <w:r>
        <w:rPr>
          <w:color w:val="000000"/>
        </w:rPr>
        <w:t xml:space="preserve">” </w:t>
      </w:r>
      <w:r>
        <w:rPr>
          <w:rFonts w:ascii="Times New Roman;sans-serif" w:hAnsi="Times New Roman;sans-serif"/>
          <w:b w:val="false"/>
          <w:color w:val="000000"/>
          <w:sz w:val="24"/>
        </w:rPr>
        <w:t>means that certain Sixth Amended and Restated Credit Agreement, dated as of February 3, 2020, by and among the Parent, as the borrower thereunder, each lender and issuing bank from time to time party thereto, Bank of America, N.A., as administrative agent, swing line lender and an L/C issuer thereunder, Citibank N.A., Morgan Stanley MUFG Loan Partners, LLC and Wells Fargo Bank, N.A., as co-syndication agents thereunder, and the various other co-documentation agents, joint lead arrangers and joint book managers party thereto, and so long as PNC and Mizuho Bank, Ltd. are each a lender under the Credit Agreement as amended, restated, supplemented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and Collection Procedures</w:t>
      </w:r>
      <w:r>
        <w:rPr>
          <w:color w:val="000000"/>
        </w:rPr>
        <w:t xml:space="preserve">” </w:t>
      </w:r>
      <w:r>
        <w:rPr>
          <w:rFonts w:ascii="Times New Roman;sans-serif" w:hAnsi="Times New Roman;sans-serif"/>
          <w:b w:val="false"/>
          <w:color w:val="000000"/>
          <w:sz w:val="24"/>
        </w:rPr>
        <w:t xml:space="preserve">means, as the context may require, those receivables credit and collection policies and historical practices of the Originators and/or Servicer in effect on the Closing Date and described in </w:t>
      </w:r>
      <w:r>
        <w:rPr>
          <w:rFonts w:ascii="Times New Roman;sans-serif" w:hAnsi="Times New Roman;sans-serif"/>
          <w:b w:val="false"/>
          <w:color w:val="000000"/>
          <w:sz w:val="24"/>
          <w:u w:val="single"/>
        </w:rPr>
        <w:t>Exhibit E</w:t>
      </w:r>
      <w:r>
        <w:rPr>
          <w:rFonts w:ascii="Times New Roman;sans-serif" w:hAnsi="Times New Roman;sans-serif"/>
          <w:b w:val="false"/>
          <w:color w:val="000000"/>
          <w:sz w:val="24"/>
        </w:rPr>
        <w:t>, as modified in compliance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Extension</w:t>
      </w:r>
      <w:r>
        <w:rPr>
          <w:color w:val="000000"/>
        </w:rPr>
        <w:t xml:space="preserve">” </w:t>
      </w:r>
      <w:r>
        <w:rPr>
          <w:rFonts w:ascii="Times New Roman;sans-serif" w:hAnsi="Times New Roman;sans-serif"/>
          <w:b w:val="false"/>
          <w:color w:val="000000"/>
          <w:sz w:val="24"/>
        </w:rPr>
        <w:t>means the making of any Loan.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Credit Party</w:t>
      </w:r>
      <w:r>
        <w:rPr>
          <w:color w:val="000000"/>
        </w:rPr>
        <w:t xml:space="preserve">” </w:t>
      </w:r>
      <w:r>
        <w:rPr>
          <w:rFonts w:ascii="Times New Roman;sans-serif" w:hAnsi="Times New Roman;sans-serif"/>
          <w:b w:val="false"/>
          <w:color w:val="000000"/>
          <w:sz w:val="24"/>
        </w:rPr>
        <w:t>means each Lender, the Administrative Agent and each Group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Currency Reserve Amount</w:t>
      </w:r>
      <w:r>
        <w:rPr>
          <w:color w:val="000000"/>
        </w:rPr>
        <w:t xml:space="preserve">” </w:t>
      </w:r>
      <w:r>
        <w:rPr>
          <w:rFonts w:ascii="Times New Roman;sans-serif" w:hAnsi="Times New Roman;sans-serif"/>
          <w:b w:val="false"/>
          <w:color w:val="000000"/>
          <w:sz w:val="24"/>
        </w:rPr>
        <w:t xml:space="preserve">means, at any time of determination, the sum of (a) the Euro Volatility Reserve,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GBP Volatility Reserve,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(c) the excess (if any) of (i) the U.S. Dollar Equivalent of the aggregate Outstanding Balance of all Pool Receivables denominated in an Alternative Currency,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two and a half percent (2.5%),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(y) the U.S. Dollar Equivalent of the aggregate Outstanding Balance of all Pool Receivables.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1M SOFR</w:t>
      </w:r>
      <w:r>
        <w:rPr>
          <w:color w:val="000000"/>
        </w:rPr>
        <w:t xml:space="preserve">” </w:t>
      </w:r>
      <w:r>
        <w:rPr>
          <w:rFonts w:ascii="Times New Roman;sans-serif" w:hAnsi="Times New Roman;sans-serif"/>
          <w:b w:val="false"/>
          <w:color w:val="000000"/>
          <w:sz w:val="24"/>
        </w:rPr>
        <w:t xml:space="preserve">means, for any day, the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determined by the Administrative Agent (rounded upwards, at the Administrative Agent’s discretion, to the nearest 1/100th of 1%) equal to the Term SOFR Reference Rate for such day for a one (1) month period, as published by the Term SOFR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Daily 1M SOFR, determined as provided above, would be less than the Floor, then Daily 1M SOFR shall be deemed to be the Floor. The rate of interest will be adjusted automatically as of each Business Day based on changes in Daily 1M SOFR without notice to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xml:space="preserve">), the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determined by the Administrative Agent (rounded upwards, at the Administrative Agent’s discretion, to the nearest 1/100th of 1%) equal to SOFR for the day (the “</w:t>
      </w:r>
      <w:r>
        <w:rPr>
          <w:rFonts w:ascii="Times New Roman;sans-serif" w:hAnsi="Times New Roman;sans-serif"/>
          <w:b w:val="false"/>
          <w:color w:val="000000"/>
          <w:sz w:val="24"/>
          <w:u w:val="single"/>
        </w:rPr>
        <w:t>SOFR Determination Date</w:t>
      </w:r>
      <w:r>
        <w:rPr>
          <w:color w:val="000000"/>
        </w:rPr>
        <w:t>”</w:t>
      </w:r>
      <w:r>
        <w:rPr>
          <w:rFonts w:ascii="Times New Roman;sans-serif" w:hAnsi="Times New Roman;sans-serif"/>
          <w:b w:val="false"/>
          <w:color w:val="000000"/>
          <w:sz w:val="24"/>
        </w:rPr>
        <w:t xml:space="preserve">) that is two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w:t>
      </w:r>
      <w:r>
        <w:br w:type="page"/>
      </w:r>
    </w:p>
    <w:p>
      <w:pPr>
        <w:pStyle w:val="TextBody"/>
        <w:spacing w:before="0" w:after="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2100"/>
                <wp:effectExtent l="0" t="0" r="0" b="0"/>
                <wp:wrapNone/>
                <wp:docPr id="69" name="Frame6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Daily Simple SOFR as determined above would be less than the Floor, then Daily Simple SOFR shall be deemed to be the Floor. If SOFR for any SOFR Determination Date has not been so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as described above;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SOFR determined pursuant to this sentence shall be used for purposes of calculating Daily Simple SOFR for no more than three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SOFR Option</w:t>
      </w:r>
      <w:r>
        <w:rPr>
          <w:color w:val="000000"/>
        </w:rPr>
        <w:t xml:space="preserve">” </w:t>
      </w:r>
      <w:r>
        <w:rPr>
          <w:rFonts w:ascii="Times New Roman;sans-serif" w:hAnsi="Times New Roman;sans-serif"/>
          <w:b w:val="false"/>
          <w:color w:val="000000"/>
          <w:sz w:val="24"/>
        </w:rPr>
        <w:t xml:space="preserve">means the option of the Borrower to have Loans bearing interest at the rate and under the terms specified in </w:t>
      </w:r>
      <w:r>
        <w:rPr>
          <w:rFonts w:ascii="Times New Roman;sans-serif" w:hAnsi="Times New Roman;sans-serif"/>
          <w:b w:val="false"/>
          <w:color w:val="000000"/>
          <w:sz w:val="24"/>
          <w:u w:val="single"/>
        </w:rPr>
        <w:t>Section 2.05(a)(iii)</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SOFR Rate</w:t>
      </w:r>
      <w:r>
        <w:rPr>
          <w:color w:val="000000"/>
        </w:rPr>
        <w:t xml:space="preserve">” </w:t>
      </w:r>
      <w:r>
        <w:rPr>
          <w:rFonts w:ascii="Times New Roman;sans-serif" w:hAnsi="Times New Roman;sans-serif"/>
          <w:b w:val="false"/>
          <w:color w:val="000000"/>
          <w:sz w:val="24"/>
        </w:rPr>
        <w:t xml:space="preserve">means with respect to Loans to which the Daily SOFR Option applies, a fluctuating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as shall be in effect from time to time equal to (a) Daily 1M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SOFR Adjustment.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Daily SOFR Rate Loan</w:t>
      </w:r>
      <w:r>
        <w:rPr>
          <w:color w:val="000000"/>
        </w:rPr>
        <w:t xml:space="preserve">” </w:t>
      </w:r>
      <w:r>
        <w:rPr>
          <w:rFonts w:ascii="Times New Roman;sans-serif" w:hAnsi="Times New Roman;sans-serif"/>
          <w:b w:val="false"/>
          <w:color w:val="000000"/>
          <w:sz w:val="24"/>
        </w:rPr>
        <w:t>means a Loan that bears interest based on the Daily SOFR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Days’ Sales Outstanding</w:t>
      </w:r>
      <w:r>
        <w:rPr>
          <w:color w:val="000000"/>
        </w:rPr>
        <w:t xml:space="preserve">” </w:t>
      </w:r>
      <w:r>
        <w:rPr>
          <w:rFonts w:ascii="Times New Roman;sans-serif" w:hAnsi="Times New Roman;sans-serif"/>
          <w:b w:val="false"/>
          <w:color w:val="000000"/>
          <w:sz w:val="24"/>
        </w:rPr>
        <w:t xml:space="preserve">means, for any Fiscal Month, an amount computed as of the last day of such Fiscal Month equal to: (a) the average of the Outstanding Balance of all Pool Receivables as of the last day of each of the three (3) most recent Fiscal Months ended on the last day of such Fiscal Month,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(i) the aggregate initial Outstanding Balance of all Pool Receivables generated by the Originators during the three (3) most recent Fiscal Months ended on the last day of such Fiscal Month, </w:t>
      </w:r>
      <w:r>
        <w:rPr>
          <w:rFonts w:ascii="Times New Roman;sans-serif" w:hAnsi="Times New Roman;sans-serif"/>
          <w:b w:val="false"/>
          <w:color w:val="000000"/>
          <w:sz w:val="24"/>
          <w:u w:val="single"/>
        </w:rPr>
        <w:t>divided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(ii) ninety (90).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Debt</w:t>
      </w:r>
      <w:r>
        <w:rPr>
          <w:color w:val="000000"/>
        </w:rPr>
        <w:t xml:space="preserve">” </w:t>
      </w:r>
      <w:r>
        <w:rPr>
          <w:rFonts w:ascii="Times New Roman;sans-serif" w:hAnsi="Times New Roman;sans-serif"/>
          <w:b w:val="false"/>
          <w:color w:val="000000"/>
          <w:sz w:val="24"/>
        </w:rPr>
        <w:t>means, as to any Person at any time of determination,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bonds, debentures, notes, note purchase, acceptance or credit facility, or other similar instruments or facilities, (iii) reimbursement obligations (contingent or otherwise) under any letter of credit, (iv) any other transaction (including production payments (excluding royalties), installment purchase agreements, forward sale or purchase agreements, capitalized leases and conditional sales agreements) having the commercial effect of a borrowing of money entered into by such Person to finance its operations or capital requirements (but not including accounts payable incurred in the ordinary course of such Person’s business payable on terms customary in the trade), (v) all net obligations of such Person in respect of interest rate on currency hedges or (vi) any Guaranty of any such Debt.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Deemed Collections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3.01(d)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Defaulting Lender</w:t>
      </w:r>
      <w:r>
        <w:rPr>
          <w:color w:val="000000"/>
        </w:rPr>
        <w:t xml:space="preserve">” </w:t>
      </w:r>
      <w:r>
        <w:rPr>
          <w:rFonts w:ascii="Times New Roman;sans-serif" w:hAnsi="Times New Roman;sans-serif"/>
          <w:b w:val="false"/>
          <w:color w:val="000000"/>
          <w:sz w:val="24"/>
        </w:rPr>
        <w:t xml:space="preserve">means any Lender that (a) has failed, within one (1) Business Day of the date required to be funded or paid, to (i) fund any portion of its Loans or (ii) pay over to any Credit Party any other amount required to be paid by it hereunder, unless, in the case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w:t>
      </w:r>
      <w:r>
        <w:br w:type="page"/>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2100"/>
                <wp:effectExtent l="0" t="0" r="0" b="0"/>
                <wp:wrapNone/>
                <wp:docPr id="70" name="Frame7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 (c) upon such Credit Party’s receipt of such certification in form and substance satisfactory to it and the Administrative Agent, or (d) has become the subject of an Insolvency Proceeding.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 Ratio</w:t>
      </w:r>
      <w:r>
        <w:rPr>
          <w:color w:val="000000"/>
        </w:rPr>
        <w:t xml:space="preserve">” </w:t>
      </w:r>
      <w:r>
        <w:rPr>
          <w:rFonts w:ascii="Times New Roman;sans-serif" w:hAnsi="Times New Roman;sans-serif"/>
          <w:b w:val="false"/>
          <w:color w:val="000000"/>
          <w:sz w:val="24"/>
        </w:rPr>
        <w:t xml:space="preserve">means the ratio (expressed as a percentage and rounded to the nearest 1/100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aggregate Outstanding Balance of all Pool Receivables that became Defaulted Receivables during such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initial Outstanding Balance of all Pool Receivables generated by the Originators during the month that is six (6) Fiscal Months before such Fiscal Month.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Defaulted Receivable</w:t>
      </w:r>
      <w:r>
        <w:rPr>
          <w:color w:val="000000"/>
        </w:rPr>
        <w:t xml:space="preserve">” </w:t>
      </w:r>
      <w:r>
        <w:rPr>
          <w:rFonts w:ascii="Times New Roman;sans-serif" w:hAnsi="Times New Roman;sans-serif"/>
          <w:b w:val="false"/>
          <w:color w:val="000000"/>
          <w:sz w:val="24"/>
        </w:rPr>
        <w:t>means a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(1)as to which any payment, or part thereof, remains unpaid for one hundred fifty one (151) calendar days or more from the original due date for such payment;</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(2)without duplication, as to which any payment, or part thereof, remains unpaid for less than or equal to one hundred fifty one (151) calendar days from the original due date for such payment and, consistent with the Credit and Collection Procedures, is or should be written off the applicable Originator’s or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s books as uncollectible;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(3)without duplication, as to which an Insolvency Proceeding shall have occurred with respect to the Obligor thereof or any other Person obligated thereon or owning any Related Security with respect thereto;</w:t>
      </w:r>
    </w:p>
    <w:p>
      <w:pPr>
        <w:pStyle w:val="TextBody"/>
        <w:spacing w:lineRule="auto" w:line="240"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each case above such amount shall be calculated without giving effect to any netting of credits that have not been matched to a particular Receivable for the purposes of aged trial balance reporting.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Delinquency Ratio</w:t>
      </w:r>
      <w:r>
        <w:rPr>
          <w:color w:val="000000"/>
        </w:rPr>
        <w:t xml:space="preserve">” </w:t>
      </w:r>
      <w:r>
        <w:rPr>
          <w:rFonts w:ascii="Times New Roman;sans-serif" w:hAnsi="Times New Roman;sans-serif"/>
          <w:b w:val="false"/>
          <w:color w:val="000000"/>
          <w:sz w:val="24"/>
        </w:rPr>
        <w:t xml:space="preserve">means the ratio (expressed as a percentage and rounded to the nearest 1/100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sum of (I) the aggregate Outstanding Balance of all Pool Receivables that were Delinquent Receivables on such day,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aggregate amount of Deemed Collections as of such date with respect to such Delinquent Receivables,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the aggregate Outstanding Balance of all Pool Receivables on such day.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Delinquent Receivable</w:t>
      </w:r>
      <w:r>
        <w:rPr>
          <w:color w:val="000000"/>
        </w:rPr>
        <w:t xml:space="preserve">” </w:t>
      </w:r>
      <w:r>
        <w:rPr>
          <w:rFonts w:ascii="Times New Roman;sans-serif" w:hAnsi="Times New Roman;sans-serif"/>
          <w:b w:val="false"/>
          <w:color w:val="000000"/>
          <w:sz w:val="24"/>
        </w:rPr>
        <w:t xml:space="preserve">means a Receivable as to which any payment, or part thereof, remains unpaid for ninety one (91) calendar days or more from the original due date for such payment;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amount shall be calculated without giving effect to any netting of credits that have not been matched to a particular Receivable for the purposes of aged trial balance reporting.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Horizon Ratio</w:t>
      </w:r>
      <w:r>
        <w:rPr>
          <w:color w:val="000000"/>
        </w:rPr>
        <w:t xml:space="preserve">” </w:t>
      </w:r>
      <w:r>
        <w:rPr>
          <w:rFonts w:ascii="Times New Roman;sans-serif" w:hAnsi="Times New Roman;sans-serif"/>
          <w:b w:val="false"/>
          <w:color w:val="000000"/>
          <w:sz w:val="24"/>
        </w:rPr>
        <w:t xml:space="preserve">means, for any Fiscal Month, the ratio (expressed as a percentage and rounded to the nearest 1/100th of 1%, with 5/1000th of 1% rounded upward) computed as of the last day of such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sum of (i) the aggregate initial Outstanding Balance of all Pool Receivables (other than Unbilled Receivables) generated by the Originators during such Fiscal Month,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fifty percent (50%) of the aggregate initial </w:t>
      </w:r>
      <w:r>
        <w:br w:type="page"/>
      </w:r>
    </w:p>
    <w:p>
      <w:pPr>
        <w:pStyle w:val="TextBody"/>
        <w:spacing w:before="0" w:after="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2100"/>
                <wp:effectExtent l="0" t="0" r="0" b="0"/>
                <wp:wrapNone/>
                <wp:docPr id="71" name="Frame7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Outstanding Balance of all Pool Receivables generated by the Originators during the preceding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Net Receivables Pool Balance as of the last day of such Fiscal Month. Within thirty (30) calendar days of the completion and the receipt by the Administrative Agent of the results of any annual audit or field exam of the Receivables and the servicing and origination practices of the Servicer and the Originators, the numerator of the Dilution Horizon Ratio may be adjusted by the Administrative Agent upon not less than five (5) Business Days’ notice to the Borrower to reflect such number of Fiscal Months as the Administrative Agent and the Borrower agree best reflects the business practices of the Servicer and the Originators and the actual amount of dilution and Deemed Collections that occur with respect to Pool Receivables based on the weighted average dilution lag calculation completed as part of such audit or field exam.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Ratio</w:t>
      </w:r>
      <w:r>
        <w:rPr>
          <w:color w:val="000000"/>
        </w:rPr>
        <w:t xml:space="preserve">” </w:t>
      </w:r>
      <w:r>
        <w:rPr>
          <w:rFonts w:ascii="Times New Roman;sans-serif" w:hAnsi="Times New Roman;sans-serif"/>
          <w:b w:val="false"/>
          <w:color w:val="000000"/>
          <w:sz w:val="24"/>
        </w:rPr>
        <w:t xml:space="preserve">means the ratio (expressed as a percentage and rounded to the nearest 1/100th of 1%, with 5/1000th of 1% rounded upward), computed as of the last day of each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aggregate amount of Deemed Collections during such Fiscal Month (other than amounts related to the </w:t>
      </w:r>
      <w:r>
        <w:rPr>
          <w:rFonts w:ascii="Times New Roman;sans-serif" w:hAnsi="Times New Roman;sans-serif"/>
          <w:b w:val="false"/>
          <w:color w:val="000000"/>
          <w:sz w:val="24"/>
          <w:u w:val="single"/>
        </w:rPr>
        <w:t>Specifically Reserved Dilution Amount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initial Outstanding Balance of all Pool Receivables generated by the Originators during the prior Fiscal Month.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Reserve Percentage</w:t>
      </w:r>
      <w:r>
        <w:rPr>
          <w:color w:val="000000"/>
        </w:rPr>
        <w:t xml:space="preserve">” </w:t>
      </w:r>
      <w:r>
        <w:rPr>
          <w:rFonts w:ascii="Times New Roman;sans-serif" w:hAnsi="Times New Roman;sans-serif"/>
          <w:b w:val="false"/>
          <w:color w:val="000000"/>
          <w:sz w:val="24"/>
        </w:rPr>
        <w:t xml:space="preserve">means, on any day, the product of (a) the Dilution Horizon Ratio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 xml:space="preserve">(b) the sum of (i) 2.00 times the average of the Dilution Ratios for the twelve (12) most recent Fiscal Months and (ii) the Dilution Volatility Component.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Dilution Volatility Component</w:t>
      </w:r>
      <w:r>
        <w:rPr>
          <w:color w:val="000000"/>
        </w:rPr>
        <w:t xml:space="preserve">” </w:t>
      </w:r>
      <w:r>
        <w:rPr>
          <w:rFonts w:ascii="Times New Roman;sans-serif" w:hAnsi="Times New Roman;sans-serif"/>
          <w:b w:val="false"/>
          <w:color w:val="000000"/>
          <w:sz w:val="24"/>
        </w:rPr>
        <w:t xml:space="preserve">means, for any Fiscal Month, the product (expressed as a percentage and rounded to the nearest 1/100 of 1%, with 5/1000th of 1% rounded upward) of (a) the positive difference, if any, between: (i) the highest Dilution Ratio for any Fiscal Month during the twelve (12) most recent Fiscal Months and (ii) the arithmetic average of the Dilution Ratios for such twelve (12) Fiscal Months </w:t>
      </w:r>
      <w:r>
        <w:rPr>
          <w:rFonts w:ascii="Times New Roman;sans-serif" w:hAnsi="Times New Roman;sans-serif"/>
          <w:b w:val="false"/>
          <w:color w:val="000000"/>
          <w:sz w:val="24"/>
          <w:u w:val="single"/>
        </w:rPr>
        <w:t>times</w:t>
      </w:r>
      <w:r>
        <w:rPr>
          <w:color w:val="000000"/>
        </w:rPr>
        <w:t xml:space="preserve"> </w:t>
      </w:r>
      <w:r>
        <w:rPr>
          <w:rFonts w:ascii="Times New Roman;sans-serif" w:hAnsi="Times New Roman;sans-serif"/>
          <w:b w:val="false"/>
          <w:color w:val="000000"/>
          <w:sz w:val="24"/>
        </w:rPr>
        <w:t xml:space="preserve">(b) the quotient of (i) the highest Dilution Ratio for any Fiscal Month during the twelve (12) most recent consecutive Fiscal Months </w:t>
      </w:r>
      <w:r>
        <w:rPr>
          <w:rFonts w:ascii="Times New Roman;sans-serif" w:hAnsi="Times New Roman;sans-serif"/>
          <w:b w:val="false"/>
          <w:color w:val="000000"/>
          <w:sz w:val="24"/>
          <w:u w:val="single"/>
        </w:rPr>
        <w:t>divided by</w:t>
      </w:r>
      <w:r>
        <w:rPr>
          <w:color w:val="000000"/>
        </w:rPr>
        <w:t xml:space="preserve"> </w:t>
      </w:r>
      <w:r>
        <w:rPr>
          <w:rFonts w:ascii="Times New Roman;sans-serif" w:hAnsi="Times New Roman;sans-serif"/>
          <w:b w:val="false"/>
          <w:color w:val="000000"/>
          <w:sz w:val="24"/>
        </w:rPr>
        <w:t>(ii) the arithmetic average of the Dilution Ratios for such twelve (12) consecutive Fiscal Months.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Dollars</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each mean the lawful currency of the United States of America.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Earned Milestone Receivable</w:t>
      </w:r>
      <w:r>
        <w:rPr>
          <w:color w:val="000000"/>
        </w:rPr>
        <w:t xml:space="preserve">” </w:t>
      </w:r>
      <w:r>
        <w:rPr>
          <w:rFonts w:ascii="Times New Roman;sans-serif" w:hAnsi="Times New Roman;sans-serif"/>
          <w:b w:val="false"/>
          <w:color w:val="000000"/>
          <w:sz w:val="24"/>
        </w:rPr>
        <w:t>means a Receivable earned, notwithstanding the fact that the Originator thereof has not recognized the related revenue on its financial books and records under GAAP, paid in accordance with the milestones set forth in the Contract giving rise to such Receivable, and is not subject to the performance of additional services by the Originator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Assignee</w:t>
      </w:r>
      <w:r>
        <w:rPr>
          <w:color w:val="000000"/>
        </w:rPr>
        <w:t xml:space="preserve">” </w:t>
      </w:r>
      <w:r>
        <w:rPr>
          <w:rFonts w:ascii="Times New Roman;sans-serif" w:hAnsi="Times New Roman;sans-serif"/>
          <w:b w:val="false"/>
          <w:color w:val="000000"/>
          <w:sz w:val="24"/>
        </w:rPr>
        <w:t>means (a) any Committed Lender or any of its Affiliates, (b) any Person managed by a Committed Lender or any of its Affiliates and (c) any other financial or other institution.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Foreign Currency Receivable</w:t>
      </w:r>
      <w:r>
        <w:rPr>
          <w:color w:val="000000"/>
        </w:rPr>
        <w:t xml:space="preserve">” </w:t>
      </w:r>
      <w:r>
        <w:rPr>
          <w:rFonts w:ascii="Times New Roman;sans-serif" w:hAnsi="Times New Roman;sans-serif"/>
          <w:b w:val="false"/>
          <w:color w:val="000000"/>
          <w:sz w:val="24"/>
        </w:rPr>
        <w:t>means, at any time, any Foreign Currency Receivable that is denominated and payable in an Alternative Currency.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Foreign Obligor</w:t>
      </w:r>
      <w:r>
        <w:rPr>
          <w:color w:val="000000"/>
        </w:rPr>
        <w:t xml:space="preserve">” </w:t>
      </w:r>
      <w:r>
        <w:rPr>
          <w:rFonts w:ascii="Times New Roman;sans-serif" w:hAnsi="Times New Roman;sans-serif"/>
          <w:b w:val="false"/>
          <w:color w:val="000000"/>
          <w:sz w:val="24"/>
        </w:rPr>
        <w:t>an Obligor that is a corporation or other business organization that is organized in or that has a head office (domicile), registered office, and chief executive office located in a country other than (a) the United States or (b) a Sanctioned Country.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In-Transit Receivable</w:t>
      </w:r>
      <w:r>
        <w:rPr>
          <w:color w:val="000000"/>
        </w:rPr>
        <w:t xml:space="preserve">” </w:t>
      </w:r>
      <w:r>
        <w:rPr>
          <w:rFonts w:ascii="Times New Roman;sans-serif" w:hAnsi="Times New Roman;sans-serif"/>
          <w:b w:val="false"/>
          <w:color w:val="000000"/>
          <w:sz w:val="24"/>
        </w:rPr>
        <w:t>means, at any time, any In-Transit Receivable if (a) the related goods have been shipped not more than thirty (30) calendar days prior to such date, (b) the related Originator has not pledged inventory as collateral for any Debt and (c) no inventory of such Originator is encumbered in any way.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Receivable</w:t>
      </w:r>
      <w:r>
        <w:rPr>
          <w:color w:val="000000"/>
        </w:rPr>
        <w:t xml:space="preserve">” </w:t>
      </w:r>
      <w:r>
        <w:rPr>
          <w:rFonts w:ascii="Times New Roman;sans-serif" w:hAnsi="Times New Roman;sans-serif"/>
          <w:b w:val="false"/>
          <w:color w:val="000000"/>
          <w:sz w:val="24"/>
        </w:rPr>
        <w:t>means, at any time of determination, a Pool Receivable:</w:t>
      </w:r>
      <w:r>
        <w:br w:type="page"/>
      </w:r>
    </w:p>
    <w:p>
      <w:pPr>
        <w:pStyle w:val="TextBody"/>
        <w:spacing w:before="0" w:after="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2100"/>
                <wp:effectExtent l="0" t="0" r="0" b="0"/>
                <wp:wrapNone/>
                <wp:docPr id="72" name="Frame7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Obligor of which: (i) is either a U.S. Obligor or an Eligible Foreign Obligor; (ii) is not a Sanctioned Person; (iii) is not subject to any Insolvency Proceeding; (iv) is not an Affiliate of an Integra Party or the Parent; (v) does not have an aggregate Outstanding Balance of Pool Receivables as to which any payment, or part thereof, remains unpaid for one hundred twenty one (121) calendar days or more from the original due date for such payment that exceeds fifty percent (50%) of the aggregate Outstanding Balance of all of such Obligor’s Pool Receivables; (vi) is not a natural person; (vii) is not a material supplier to any Originator or an Affiliate of a material supplier; and (viii) is not a Temporarily Ineligible Obligor;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(2)for which an Insolvency Proceeding shall not have occurred with respect to the Obligor thereof or any other Person obligated thereon or owning any Related Security with respect thereto;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(3)that is denominated and payable only in Dollars in the United States of America or an Alternative Currency payable in the United States of America, and the Obligor with respect to which has been instructed to remit Collections in respect thereof directly to a Lock-Box or Collection Account in the United States of America;</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(4)that does not have a due date which is more than one hundred eighty (180) calendar days after the original invoice date of such Receivable;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(5)that arises under a Contract for the sale of goods or services on an arm’s-length basis in the ordinary course of the applicable Originator’s business;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(6)that arises under a duly authorized Contract that is in full force and effect and that is a legal, valid and binding obligation of the related Obligor, enforceable against such Obligor in accordance with its terms, except as such enforceability may be limited by applicable bankruptcy, insolvency, reorganization or other similar laws affecting the enforcement of creditors’ rights generally and by general principles of equity regardless of whether enforceability is considered in a proceeding in equity or at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(7)that has been transferred by an Originator to the Borrower pursuant to the Purchase and Sale Agreement with respect to which transfer all conditions precedent under the Purchase and Sale Agreement have been met;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(8)that, together with the Contract related thereto, conforms in all material respects with all Applicable Laws (including any Applicable Laws relating to usury, truth in lending, fair credit billing, fair credit reporting, equal credit opportunity, fair debt collection practices and privacy);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(9)with respect to which all consents, licenses, approvals or authorizations of, or registrations or declarations with or notices to, any Governmental Authority or other Person required to be obtained, effected or given by an Originator in connection with the creation of such Receivable, the execution, delivery and performance by such Originator of the related Contract or the assignment thereof under the Purchase and Sale Agreement have been duly obtained, effected or given and are in full force and effect;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(10)that is not subject to any existing dispute, litigation, right of rescission, set-off (including, customer deposits, advance payments (including payments related to unearned revenues, but at any time prior to the occurrence of a Specific Reporting Event not including Earned Milestone Receivables), etc.), counterclaim, hold back defense, any other defense against the applicable Originator (or any assignee of such Originator) or Adverse Claim, and the Obligor of which holds no right as against the applicable </w:t>
      </w:r>
      <w:r>
        <w:br w:type="page"/>
      </w: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2100"/>
                <wp:effectExtent l="0" t="0" r="0" b="0"/>
                <wp:wrapNone/>
                <wp:docPr id="73" name="Frame7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Originator to cause such Originator to repurchase the goods or merchandise, the sale of which shall have given rise to such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(11)that satisfies all applicable requirements of the Credit and Collection Procedures;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(12)that, together with the Contract related thereto, has not been modified, waived or restructured since its creation, except as permitted pursuant to </w:t>
      </w:r>
      <w:r>
        <w:rPr>
          <w:rFonts w:ascii="Times New Roman;sans-serif" w:hAnsi="Times New Roman;sans-serif"/>
          <w:b w:val="false"/>
          <w:color w:val="000000"/>
          <w:sz w:val="24"/>
          <w:u w:val="single"/>
        </w:rPr>
        <w:t>Section 8.02(a)</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(13)in</w:t>
      </w:r>
      <w:r>
        <w:rPr>
          <w:color w:val="000000"/>
        </w:rPr>
        <w:t xml:space="preserve"> </w:t>
      </w:r>
      <w:r>
        <w:rPr>
          <w:rFonts w:ascii="Times New Roman;sans-serif" w:hAnsi="Times New Roman;sans-serif"/>
          <w:b w:val="false"/>
          <w:color w:val="000000"/>
          <w:sz w:val="24"/>
        </w:rPr>
        <w:t>which the Borrower owns good and marketable title, free and clear of any Adverse Claims, and that is freely assignable (including without any consent of the related Obligor or any Governmental Authority);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(14)for which the Administrative Agent (on behalf of the Secured Parties) shall have a valid and enforceable first priority perfected security interest therein and in the Related Security and Collections with respect thereto, in each case free and clear of any Adverse Claim;</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(15)that (i) constitutes an “account” or “payment intangible” (as defined in the UCC), (ii) is not evidenced by instruments or chattel paper and (iii) does not constitute, or arise from the sale of, as extracted collateral (as defined in the UCC);</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(16)that is neither a Defaulted Receivable nor a Delinquent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(17)for which no Integra Party has established any offset or netting arrangements with the related Obligor in connection with the ordinary course of payment of such Receivable;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(18)that, other than for Eligible In-Transit Receivables, represents amounts earned and payable by the Obligor that are not subject to the performance of additional services by the Originator thereof or by the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 xml:space="preserve">and the related goods or merchandise shall have been shipped and/or services performed;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such Receivable is subject to the performance of additional services, only the portion of such Receivables attributable to such additional services shall be excluded;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(19)which (i) does not arise from a sale of accounts made as part of a sale of a business or constitute an assignment for the purpose of collection only, (ii) is not a transfer of a single account made in whole or partial satisfaction of a preexisting indebtedness or an assignment of a right to payment under a contract to an assignee that is also obligated to perform under the contract and (iii) is not a transfer of an interest in or an assignment of a claim under a policy of insurance;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(20)which does not relate to the sale of any consigned goods or finished goods which have incorporated any consigned goods into such finished goods; </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(21)that represents amounts earned by the Originator thereof and payable by the related Obligor in accordance with the Contract related thereto that are not subject to the performance of any additional services by the Originator thereof or by the Borrower, other than, (i) the billing or invoicing of such Receivable in the case of an Eligible Unbilled Receivable and (ii) the obligation of the applicable Originator with respect to standard warranties and indemnities related to the goods or services sold that gave rise to such Receivable;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such Receivable is subject to the performance of </w:t>
      </w:r>
      <w:r>
        <w:br w:type="page"/>
      </w:r>
    </w:p>
    <w:p>
      <w:pPr>
        <w:pStyle w:val="TextBody"/>
        <w:spacing w:before="0" w:after="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2100"/>
                <wp:effectExtent l="0" t="0" r="0" b="0"/>
                <wp:wrapNone/>
                <wp:docPr id="74" name="Frame7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additional services, only the portion of such Receivable attributable to such additional services shall be ineligible; </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(22)that, if such Receivable is an In-Transit Receivable, is an Eligible In-Transit Receivable;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(23)that, if such Receivable is a Foreign Currency Receivable, is an Eligible Foreign Currency Receivable.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Eligible Unbilled Receivable</w:t>
      </w:r>
      <w:r>
        <w:rPr>
          <w:color w:val="000000"/>
        </w:rPr>
        <w:t xml:space="preserve">” </w:t>
      </w:r>
      <w:r>
        <w:rPr>
          <w:rFonts w:ascii="Times New Roman;sans-serif" w:hAnsi="Times New Roman;sans-serif"/>
          <w:b w:val="false"/>
          <w:color w:val="000000"/>
          <w:sz w:val="24"/>
        </w:rPr>
        <w:t>means, at any time, any Unbilled Receivable if (a) the related Originator has recognized the related revenue on its financial books and records under GAAP, and (b) not more than thirty (30) calendar days have expired since the date such Unbilled Receivable arose.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Equity Interests</w:t>
      </w:r>
      <w:r>
        <w:rPr>
          <w:color w:val="000000"/>
        </w:rPr>
        <w:t xml:space="preserve">” </w:t>
      </w:r>
      <w:r>
        <w:rPr>
          <w:rFonts w:ascii="Times New Roman;sans-serif" w:hAnsi="Times New Roman;sans-serif"/>
          <w:b w:val="false"/>
          <w:color w:val="000000"/>
          <w:sz w:val="24"/>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not including debt securities convertible into or exchangeable for capital stock.</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w:t>
      </w:r>
      <w:r>
        <w:rPr>
          <w:color w:val="000000"/>
        </w:rPr>
        <w:t xml:space="preserve">” </w:t>
      </w:r>
      <w:r>
        <w:rPr>
          <w:rFonts w:ascii="Times New Roman;sans-serif" w:hAnsi="Times New Roman;sans-serif"/>
          <w:b w:val="false"/>
          <w:color w:val="000000"/>
          <w:sz w:val="24"/>
        </w:rPr>
        <w:t>means the Employee Retirement Income Security Act of 1974, as amended from time to time, and any rule or regulation issued thereunder.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ERISA Affiliate</w:t>
      </w:r>
      <w:r>
        <w:rPr>
          <w:color w:val="000000"/>
        </w:rPr>
        <w:t xml:space="preserve">” </w:t>
      </w:r>
      <w:r>
        <w:rPr>
          <w:rFonts w:ascii="Times New Roman;sans-serif" w:hAnsi="Times New Roman;sans-serif"/>
          <w:b w:val="false"/>
          <w:color w:val="000000"/>
          <w:sz w:val="24"/>
        </w:rPr>
        <w:t>means, with respect to any Person, any corporation, trade or business which together with the Person is a member of a controlled group of corporations or a controlled group of trades or businesses and would be deemed a “single employer” within the meaning of Sections 414(b), (c), (m) of the Code or Section 4001(b) of ERISA.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10.11(a)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Erroneous Payment Notice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10.11(b)</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Euro</w:t>
      </w:r>
      <w:r>
        <w:rPr>
          <w:color w:val="000000"/>
        </w:rPr>
        <w:t xml:space="preserve">” </w:t>
      </w:r>
      <w:r>
        <w:rPr>
          <w:rFonts w:ascii="Times New Roman;sans-serif" w:hAnsi="Times New Roman;sans-serif"/>
          <w:b w:val="false"/>
          <w:color w:val="000000"/>
          <w:sz w:val="24"/>
        </w:rPr>
        <w:t>and “</w:t>
      </w:r>
      <w:r>
        <w:rPr>
          <w:color w:val="000000"/>
          <w:u w:val="single"/>
        </w:rPr>
        <w:t>€</w:t>
      </w:r>
      <w:r>
        <w:rPr>
          <w:color w:val="000000"/>
        </w:rPr>
        <w:t xml:space="preserve">” </w:t>
      </w:r>
      <w:r>
        <w:rPr>
          <w:rFonts w:ascii="Times New Roman;sans-serif" w:hAnsi="Times New Roman;sans-serif"/>
          <w:b w:val="false"/>
          <w:color w:val="000000"/>
          <w:sz w:val="24"/>
        </w:rPr>
        <w:t>each mean the single currency of participating member states of the European Monetary Union.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Euro VaR Percentage</w:t>
      </w:r>
      <w:r>
        <w:rPr>
          <w:color w:val="000000"/>
        </w:rPr>
        <w:t xml:space="preserve">” </w:t>
      </w:r>
      <w:r>
        <w:rPr>
          <w:rFonts w:ascii="Times New Roman;sans-serif" w:hAnsi="Times New Roman;sans-serif"/>
          <w:b w:val="false"/>
          <w:color w:val="000000"/>
          <w:sz w:val="24"/>
        </w:rPr>
        <w:t>means six percent (6.00%), or such other percentage designated as such by the Administrative Agent from time to time upon ten (10) Business Days’ written notice to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Euro Volatility Reserve</w:t>
      </w:r>
      <w:r>
        <w:rPr>
          <w:color w:val="000000"/>
        </w:rPr>
        <w:t xml:space="preserve">” </w:t>
      </w:r>
      <w:r>
        <w:rPr>
          <w:rFonts w:ascii="Times New Roman;sans-serif" w:hAnsi="Times New Roman;sans-serif"/>
          <w:b w:val="false"/>
          <w:color w:val="000000"/>
          <w:sz w:val="24"/>
        </w:rPr>
        <w:t>means, at any time of determination, the product of (a) the U.S. Dollar Equivalent of the aggregate Outstanding Balance of all Pool Receivables denominated in Euro at such time, times (b) the Euro VaR Percentage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Event of Default</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xml:space="preserve">. For the avoidance of doubt, any Event of Default that occurs shall be deemed to be continuing at all times thereafter unless and until waived in accordance with </w:t>
      </w:r>
      <w:r>
        <w:rPr>
          <w:rFonts w:ascii="Times New Roman;sans-serif" w:hAnsi="Times New Roman;sans-serif"/>
          <w:b w:val="false"/>
          <w:color w:val="000000"/>
          <w:sz w:val="24"/>
          <w:u w:val="single"/>
        </w:rPr>
        <w:t>Section 13.01</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Excess Concentration</w:t>
      </w:r>
      <w:r>
        <w:rPr>
          <w:color w:val="000000"/>
        </w:rPr>
        <w:t xml:space="preserve">” </w:t>
      </w:r>
      <w:r>
        <w:rPr>
          <w:rFonts w:ascii="Times New Roman;sans-serif" w:hAnsi="Times New Roman;sans-serif"/>
          <w:b w:val="false"/>
          <w:color w:val="000000"/>
          <w:sz w:val="24"/>
        </w:rPr>
        <w:t>means the sum of the following amounts, without duplication:</w:t>
      </w:r>
      <w:r>
        <w:br w:type="page"/>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2100"/>
                <wp:effectExtent l="0" t="0" r="0" b="0"/>
                <wp:wrapNone/>
                <wp:docPr id="75" name="Frame7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(1)the sum of the amounts calculated for each of the Obligors equal to the excess (if any) of (i) the aggregate Outstanding Balance of the Eligible Receivables of such Obligor,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such Obligor’s Concentration Percentage, multiplied by (y)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(2)the excess (if any) of (i) the aggregate Outstanding Balance of all Eligible Receivables, the Obligors of which are Eligible Foreign Obligors,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thirty percent (30.00%),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aggregate Outstanding Balance of all Eligible Receivables, the Obligors of which are Eligible Foreign Obligors (A) organized in, and whose principal place of business is in, a country that has a long-term sovereign foreign-currency rating from and including “A” to and including “BBB-” by S&amp;P or from and including “A2” to and including “Baa3” by Moody’s, shall not exceed twenty percent (20.00%) of the aggregate Outstanding Balance of all Eligible Receivables, (B) organized in, and whose principal place of business is in, a country that has a long-term sovereign foreign-currency rating equal to or less than “BB+” by S&amp;P or “Ba1” by Moody’s, shall not exceed five percent (5.00%) of the aggregate Outstanding Balance of all Eligible Receivables, (C) organized in, and whose principal place of business is in, the People’s Republic of China, shall not exceed seven and one half percent (7.50%) of the aggregate Outstanding Balance of all Eligible Receivables and (D) organized in, and whose principal place of business is in, a country other than the People’s Republic of China, shall not exceed five percent (5.00%) of the aggregate Outstanding Balance of all Eligible Receivables;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(3)the excess (if any) of (i) the aggregate Outstanding Balance of all Eligible Receivables as to which any payment, or part thereof, remain unpaid for sixty one (61) to ninety (90) calendar days from the original due date for such payment,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five percent (5.00%),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(4)the excess (if any) of (i) the aggregate Outstanding Balance of all Eligible Receivables that have a due date which is between ninety one (91) to one hundred twenty (120) calendar days after the original invoice date of such Receivable,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ten percent (10.00%),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(5)the excess (if any) of (i) the aggregate Outstanding Balance of all Eligible Receivables that have a due date which is between one hundred twenty one (121) to one hundred eighty (180) calendar days after the original invoice date of such Receivable,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five percent (5.00%),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(6)the excess (if any) of (i) the aggregate Outstanding Balance of all Eligible In-Transit Receivables,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two and a half percent (2.50%),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(7)the excess (if any) of (i) the aggregate Outstanding Balance of all Eligible Receivables, the Obligors of which are the federal government of the United States of America or any political subdivision, department, affiliate, agency or other entity thereof (which, for the avoidance of doubt, does not include any state or local government body or any political subdivision, department, affiliate, agency or other entity thereof),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w:t>
      </w:r>
      <w:r>
        <w:br w:type="page"/>
      </w:r>
    </w:p>
    <w:p>
      <w:pPr>
        <w:pStyle w:val="TextBody"/>
        <w:spacing w:before="0" w:after="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2100"/>
                <wp:effectExtent l="0" t="0" r="0" b="0"/>
                <wp:wrapNone/>
                <wp:docPr id="76" name="Frame7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the product of (x) one percent (1.00%),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(y) the aggregate Outstanding Balance of all Eligible Receivables then in the Receivables Pool; </w:t>
      </w:r>
      <w:r>
        <w:rPr>
          <w:rFonts w:ascii="Times New Roman;sans-serif" w:hAnsi="Times New Roman;sans-serif"/>
          <w:b w:val="false"/>
          <w:color w:val="000000"/>
          <w:sz w:val="24"/>
          <w:u w:val="single"/>
        </w:rPr>
        <w:t>plus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(8)the excess (if any) of (i) the aggregate Outstanding Balance of all Eligible Receivables owing from the four (4) Group D Obligors with the four (4) largest Obligor Percentages of all Group D Obligors,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 xml:space="preserve">(ii) the product of (x) twelve percent (12.00%),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(y) the aggregate Outstanding Balance of all Eligible Receivables then in the Receivables Pool.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Exchange Act</w:t>
      </w:r>
      <w:r>
        <w:rPr>
          <w:color w:val="000000"/>
        </w:rPr>
        <w:t xml:space="preserve">” </w:t>
      </w:r>
      <w:r>
        <w:rPr>
          <w:rFonts w:ascii="Times New Roman;sans-serif" w:hAnsi="Times New Roman;sans-serif"/>
          <w:b w:val="false"/>
          <w:color w:val="000000"/>
          <w:sz w:val="24"/>
        </w:rPr>
        <w:t>means the Securities Exchange Act of 1934, as amended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Obligor</w:t>
      </w:r>
      <w:r>
        <w:rPr>
          <w:color w:val="000000"/>
        </w:rPr>
        <w:t xml:space="preserve">” </w:t>
      </w:r>
      <w:r>
        <w:rPr>
          <w:rFonts w:ascii="Times New Roman;sans-serif" w:hAnsi="Times New Roman;sans-serif"/>
          <w:b w:val="false"/>
          <w:color w:val="000000"/>
          <w:sz w:val="24"/>
        </w:rPr>
        <w:t xml:space="preserve">means each Obligor listed on </w:t>
      </w:r>
      <w:r>
        <w:rPr>
          <w:rFonts w:ascii="Times New Roman;sans-serif" w:hAnsi="Times New Roman;sans-serif"/>
          <w:b w:val="false"/>
          <w:color w:val="000000"/>
          <w:sz w:val="24"/>
          <w:u w:val="single"/>
        </w:rPr>
        <w:t>Schedule IV</w:t>
      </w:r>
      <w:r>
        <w:rPr>
          <w:rFonts w:ascii="Times New Roman;sans-serif" w:hAnsi="Times New Roman;sans-serif"/>
          <w:b w:val="false"/>
          <w:color w:val="000000"/>
          <w:sz w:val="24"/>
        </w:rPr>
        <w:t>, which schedule may be amended, modified, restated, supplemented or replaced from time to time with the consent of the Administrative Agent, the Majority Group Agents and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Originator</w:t>
      </w:r>
      <w:r>
        <w:rPr>
          <w:color w:val="000000"/>
        </w:rPr>
        <w:t xml:space="preserve">” </w:t>
      </w:r>
      <w:r>
        <w:rPr>
          <w:rFonts w:ascii="Times New Roman;sans-serif" w:hAnsi="Times New Roman;sans-serif"/>
          <w:b w:val="false"/>
          <w:color w:val="000000"/>
          <w:sz w:val="24"/>
        </w:rPr>
        <w:t xml:space="preserve">means each Originator (or sub-division or business unit or other similar entity thereof) listed on </w:t>
      </w:r>
      <w:r>
        <w:rPr>
          <w:rFonts w:ascii="Times New Roman;sans-serif" w:hAnsi="Times New Roman;sans-serif"/>
          <w:b w:val="false"/>
          <w:color w:val="000000"/>
          <w:sz w:val="24"/>
          <w:u w:val="single"/>
        </w:rPr>
        <w:t>Schedule IV</w:t>
      </w:r>
      <w:r>
        <w:rPr>
          <w:rFonts w:ascii="Times New Roman;sans-serif" w:hAnsi="Times New Roman;sans-serif"/>
          <w:b w:val="false"/>
          <w:color w:val="000000"/>
          <w:sz w:val="24"/>
        </w:rPr>
        <w:t>, which schedule may be amended, modified, restated, supplemented or replaced from time to time with the consent of the Administrative Agent, the Majority Group Agents and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Receivable</w:t>
      </w:r>
      <w:r>
        <w:rPr>
          <w:color w:val="000000"/>
        </w:rPr>
        <w:t xml:space="preserve">” </w:t>
      </w:r>
      <w:r>
        <w:rPr>
          <w:rFonts w:ascii="Times New Roman;sans-serif" w:hAnsi="Times New Roman;sans-serif"/>
          <w:b w:val="false"/>
          <w:color w:val="000000"/>
          <w:sz w:val="24"/>
        </w:rPr>
        <w:t>means any Receivable, (a) the Obligor of which is an Excluded Obligor or (b) the Originator of which is an Excluded Originator.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Excluded Taxes</w:t>
      </w:r>
      <w:r>
        <w:rPr>
          <w:color w:val="000000"/>
        </w:rPr>
        <w:t xml:space="preserve">” </w:t>
      </w:r>
      <w:r>
        <w:rPr>
          <w:rFonts w:ascii="Times New Roman;sans-serif" w:hAnsi="Times New Roman;sans-serif"/>
          <w:b w:val="false"/>
          <w:color w:val="000000"/>
          <w:sz w:val="24"/>
        </w:rPr>
        <w:t xml:space="preserve">means any of the following Taxes imposed on or with respect to an Affected Person or required to be withheld or deducted from a payment to an Affected Person: (a) Taxes imposed on or measured by net income (however denominated), franchise Taxes and branch profits Taxes, in each case, (i) imposed as a result of such Affected Person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Loans or Commitment pursuant to a law in effect on the date on which (i) such Lender makes a Loan or its Commitment or (ii) such Lender changes its lending office, except in each case to the extent that, pursuant to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amounts with respect to such Taxes were payable either to such Lender’s assignor immediately before such Lender became a party hereto or to such Lender immediately before it changed its lending office, (c) Taxes attributable to such Affected Person’s failure to comply with </w:t>
      </w:r>
      <w:r>
        <w:rPr>
          <w:rFonts w:ascii="Times New Roman;sans-serif" w:hAnsi="Times New Roman;sans-serif"/>
          <w:b w:val="false"/>
          <w:color w:val="000000"/>
          <w:sz w:val="24"/>
          <w:u w:val="single"/>
        </w:rPr>
        <w:t>Section 4.03(f)</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Section 4.03(g)</w:t>
      </w:r>
      <w:r>
        <w:rPr>
          <w:color w:val="000000"/>
        </w:rPr>
        <w:t xml:space="preserve"> </w:t>
      </w:r>
      <w:r>
        <w:rPr>
          <w:rFonts w:ascii="Times New Roman;sans-serif" w:hAnsi="Times New Roman;sans-serif"/>
          <w:b w:val="false"/>
          <w:color w:val="000000"/>
          <w:sz w:val="24"/>
        </w:rPr>
        <w:t>and (d) any withholding Taxes imposed pursuant to FATCA.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Facility Limit</w:t>
      </w:r>
      <w:r>
        <w:rPr>
          <w:color w:val="000000"/>
        </w:rPr>
        <w:t xml:space="preserve">” </w:t>
      </w:r>
      <w:r>
        <w:rPr>
          <w:rFonts w:ascii="Times New Roman;sans-serif" w:hAnsi="Times New Roman;sans-serif"/>
          <w:b w:val="false"/>
          <w:color w:val="000000"/>
          <w:sz w:val="24"/>
        </w:rPr>
        <w:t xml:space="preserve">means one hundred fifty million dollars ($150,000,000) as reduced or increased from time to time pursuant to </w:t>
      </w:r>
      <w:r>
        <w:rPr>
          <w:rFonts w:ascii="Times New Roman;sans-serif" w:hAnsi="Times New Roman;sans-serif"/>
          <w:b w:val="false"/>
          <w:color w:val="000000"/>
          <w:sz w:val="24"/>
          <w:u w:val="single"/>
        </w:rPr>
        <w:t>Section 2.02(e)</w:t>
      </w:r>
      <w:r>
        <w:rPr>
          <w:rFonts w:ascii="Times New Roman;sans-serif" w:hAnsi="Times New Roman;sans-serif"/>
          <w:b w:val="false"/>
          <w:color w:val="000000"/>
          <w:sz w:val="24"/>
        </w:rPr>
        <w:t xml:space="preserve">. References to the unused portion of the Facility Limit shall mean, at any time of determination, an amount equal to (x) the Facility Limit at such time,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(y) the Aggregate Capital.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r>
        <w:br w:type="page"/>
      </w:r>
    </w:p>
    <w:p>
      <w:pPr>
        <w:pStyle w:val="TextBody"/>
        <w:spacing w:before="0" w:after="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2100"/>
                <wp:effectExtent l="0" t="0" r="0" b="0"/>
                <wp:wrapNone/>
                <wp:docPr id="77" name="Frame7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Federal Reserve Board</w:t>
      </w:r>
      <w:r>
        <w:rPr>
          <w:color w:val="000000"/>
        </w:rPr>
        <w:t xml:space="preserve">” </w:t>
      </w:r>
      <w:r>
        <w:rPr>
          <w:rFonts w:ascii="Times New Roman;sans-serif" w:hAnsi="Times New Roman;sans-serif"/>
          <w:b w:val="false"/>
          <w:color w:val="000000"/>
          <w:sz w:val="24"/>
        </w:rPr>
        <w:t>means the Board of Governors of the Federal Reserve System, or any entity succeeding to any of its principal functions.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Fee Letter</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Fees</w:t>
      </w:r>
      <w:r>
        <w:rPr>
          <w:color w:val="000000"/>
        </w:rPr>
        <w:t xml:space="preserve">” </w:t>
      </w:r>
      <w:r>
        <w:rPr>
          <w:rFonts w:ascii="Times New Roman;sans-serif" w:hAnsi="Times New Roman;sans-serif"/>
          <w:b w:val="false"/>
          <w:color w:val="000000"/>
          <w:sz w:val="24"/>
        </w:rPr>
        <w:t xml:space="preserve">has the meaning specified in </w:t>
      </w:r>
      <w:r>
        <w:rPr>
          <w:rFonts w:ascii="Times New Roman;sans-serif" w:hAnsi="Times New Roman;sans-serif"/>
          <w:b w:val="false"/>
          <w:color w:val="000000"/>
          <w:sz w:val="24"/>
          <w:u w:val="single"/>
        </w:rPr>
        <w:t>Section 2.03(a)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Final Maturity Date</w:t>
      </w:r>
      <w:r>
        <w:rPr>
          <w:color w:val="000000"/>
        </w:rPr>
        <w:t xml:space="preserve">” </w:t>
      </w:r>
      <w:r>
        <w:rPr>
          <w:rFonts w:ascii="Times New Roman;sans-serif" w:hAnsi="Times New Roman;sans-serif"/>
          <w:b w:val="false"/>
          <w:color w:val="000000"/>
          <w:sz w:val="24"/>
        </w:rPr>
        <w:t xml:space="preserve">means the date that (i) is thirty (30) calendar days following the Scheduled Termination Date or (ii) such earlier date on which the Loans become due and payable pursuant to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Final Payout Date</w:t>
      </w:r>
      <w:r>
        <w:rPr>
          <w:color w:val="000000"/>
        </w:rPr>
        <w:t xml:space="preserve">” </w:t>
      </w:r>
      <w:r>
        <w:rPr>
          <w:rFonts w:ascii="Times New Roman;sans-serif" w:hAnsi="Times New Roman;sans-serif"/>
          <w:b w:val="false"/>
          <w:color w:val="000000"/>
          <w:sz w:val="24"/>
        </w:rPr>
        <w:t>means the date on or after the Termination Date when (i) the Aggregate Capital and Aggregate Interest have been paid in full, (ii) all Borrower Obligations shall have been paid in full, (iii) all other amounts owing to the Credit Parties and any other Borrower Indemnified Party or Affected Person hereunder and under the other Transaction Documents have been paid in full and (iv) all accrued Servicing Fees have been paid in full.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Financial Officer</w:t>
      </w:r>
      <w:r>
        <w:rPr>
          <w:color w:val="000000"/>
        </w:rPr>
        <w:t xml:space="preserve">” </w:t>
      </w:r>
      <w:r>
        <w:rPr>
          <w:rFonts w:ascii="Times New Roman;sans-serif" w:hAnsi="Times New Roman;sans-serif"/>
          <w:b w:val="false"/>
          <w:color w:val="000000"/>
          <w:sz w:val="24"/>
        </w:rPr>
        <w:t>of any Person means, the chief executive officer, the chief financial officer, the chief accounting officer, the principal accounting officer, the controller, the treasurer or the assistant treasurer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Fiscal Month</w:t>
      </w:r>
      <w:r>
        <w:rPr>
          <w:color w:val="000000"/>
        </w:rPr>
        <w:t xml:space="preserve">” </w:t>
      </w:r>
      <w:r>
        <w:rPr>
          <w:rFonts w:ascii="Times New Roman;sans-serif" w:hAnsi="Times New Roman;sans-serif"/>
          <w:b w:val="false"/>
          <w:color w:val="000000"/>
          <w:sz w:val="24"/>
        </w:rPr>
        <w:t>means each calendar month.</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Inc. and any successor thereto that is a nationally recognized statistical rating organization.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Floor</w:t>
      </w:r>
      <w:r>
        <w:rPr>
          <w:color w:val="000000"/>
        </w:rPr>
        <w:t xml:space="preserve">” </w:t>
      </w:r>
      <w:r>
        <w:rPr>
          <w:rFonts w:ascii="Times New Roman;sans-serif" w:hAnsi="Times New Roman;sans-serif"/>
          <w:b w:val="false"/>
          <w:color w:val="000000"/>
          <w:sz w:val="24"/>
        </w:rPr>
        <w:t>means the benchmark rate floor, if any, provided in this Agreement initially (as of the execution of this Agreement, the modification, amendment or renewal of this Agreement or otherwise) with respect to Term SOFR, Daily 1M SOFR or Daily Simple SOFR, as applicable, or, if no floor is specified, zero.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Foreign Currency Receivable</w:t>
      </w:r>
      <w:r>
        <w:rPr>
          <w:color w:val="000000"/>
        </w:rPr>
        <w:t xml:space="preserve">” </w:t>
      </w:r>
      <w:r>
        <w:rPr>
          <w:rFonts w:ascii="Times New Roman;sans-serif" w:hAnsi="Times New Roman;sans-serif"/>
          <w:b w:val="false"/>
          <w:color w:val="000000"/>
          <w:sz w:val="24"/>
        </w:rPr>
        <w:t>means, at any time, any Receivable that is denominated and payable in a lawful currency of a country other than the United States of America.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GAAP</w:t>
      </w:r>
      <w:r>
        <w:rPr>
          <w:color w:val="000000"/>
        </w:rPr>
        <w:t xml:space="preserve">” </w:t>
      </w:r>
      <w:r>
        <w:rPr>
          <w:rFonts w:ascii="Times New Roman;sans-serif" w:hAnsi="Times New Roman;sans-serif"/>
          <w:b w:val="false"/>
          <w:color w:val="000000"/>
          <w:sz w:val="24"/>
        </w:rPr>
        <w:t>means generally accepted accounting principles in the United States of America, consistently applied.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GBP</w:t>
      </w:r>
      <w:r>
        <w:rPr>
          <w:color w:val="000000"/>
        </w:rPr>
        <w:t>”</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Pounds Sterling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each mean the lawful currency of the United Kingdom.</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GBP VaR Percentage</w:t>
      </w:r>
      <w:r>
        <w:rPr>
          <w:color w:val="000000"/>
        </w:rPr>
        <w:t xml:space="preserve">” </w:t>
      </w:r>
      <w:r>
        <w:rPr>
          <w:rFonts w:ascii="Times New Roman;sans-serif" w:hAnsi="Times New Roman;sans-serif"/>
          <w:b w:val="false"/>
          <w:color w:val="000000"/>
          <w:sz w:val="24"/>
        </w:rPr>
        <w:t>means seven percent (7.00%), or such other percentage designated as such by the Administrative Agent from time to time upon ten (10) Business Days’ written notice to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GBP Volatility Reserve</w:t>
      </w:r>
      <w:r>
        <w:rPr>
          <w:color w:val="000000"/>
        </w:rPr>
        <w:t xml:space="preserve">” </w:t>
      </w:r>
      <w:r>
        <w:rPr>
          <w:rFonts w:ascii="Times New Roman;sans-serif" w:hAnsi="Times New Roman;sans-serif"/>
          <w:b w:val="false"/>
          <w:color w:val="000000"/>
          <w:sz w:val="24"/>
        </w:rPr>
        <w:t>means, at any time of determination, the product of (a) the U.S. Dollar Equivalent of the aggregate Outstanding Balance of all Pool Receivables denominated in GBP at such time, times (b) the GBP VaR Percentage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Governmental Authority</w:t>
      </w:r>
      <w:r>
        <w:rPr>
          <w:color w:val="000000"/>
        </w:rPr>
        <w:t xml:space="preserve">” </w:t>
      </w:r>
      <w:r>
        <w:rPr>
          <w:rFonts w:ascii="Times New Roman;sans-serif" w:hAnsi="Times New Roman;sans-serif"/>
          <w:b w:val="false"/>
          <w:color w:val="000000"/>
          <w:sz w:val="24"/>
        </w:rPr>
        <w:t xml:space="preserve">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w:t>
      </w:r>
      <w:r>
        <w:br w:type="page"/>
      </w:r>
    </w:p>
    <w:p>
      <w:pPr>
        <w:pStyle w:val="TextBody"/>
        <w:spacing w:before="0" w:after="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2100"/>
                <wp:effectExtent l="0" t="0" r="0" b="0"/>
                <wp:wrapNone/>
                <wp:docPr id="78" name="Frame7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regulatory capital rules or standards (including the Financial Accounting Standards Board, the Bank for International Settlements or the Basel Committee on Banking Supervision or any successor or similar authority to any of the foregoing).</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w:t>
      </w:r>
      <w:r>
        <w:rPr>
          <w:color w:val="000000"/>
        </w:rPr>
        <w:t xml:space="preserve">” </w:t>
      </w:r>
      <w:r>
        <w:rPr>
          <w:rFonts w:ascii="Times New Roman;sans-serif" w:hAnsi="Times New Roman;sans-serif"/>
          <w:b w:val="false"/>
          <w:color w:val="000000"/>
          <w:sz w:val="24"/>
        </w:rPr>
        <w:t>means, (i) for any Conduit Lender, such Conduit Lender, together with such Conduit Lender’s Related Committed Lenders and related Group Agent, (ii) for PNC, PNC as a Committed Lender and as a Group Agent, (iii) for any other Lender that does not have a Related Conduit Lender, such Lender, together with such Lender’s related Group Agent and each other Lender for which such Group Agent acts as a Group Agent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A Obligor</w:t>
      </w:r>
      <w:r>
        <w:rPr>
          <w:color w:val="000000"/>
        </w:rPr>
        <w:t xml:space="preserve">” </w:t>
      </w:r>
      <w:r>
        <w:rPr>
          <w:rFonts w:ascii="Times New Roman;sans-serif" w:hAnsi="Times New Roman;sans-serif"/>
          <w:b w:val="false"/>
          <w:color w:val="000000"/>
          <w:sz w:val="24"/>
        </w:rPr>
        <w:t xml:space="preserve">means any Obligor (or its parent or majority owner, as applicable, if such Obligor is not rated) with a short-term rating of at least: (a) “A-1” by S&amp;P, or if such Obligor does not have a short-term rating from S&amp;P, a rating of “A+” or better by S&amp;P on such Obligor’s, its parent’s, or its majority owner’s (as applicable) long-term senior unsecured and uncredit-enhanced debt securities,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 xml:space="preserve">(b) “P 1” by Moody’s, or if such Obligor does not have a short-term rating from Moody’s, “Al” or better by Moody’s on such Obligor’s, its parent’s or its majority owner’s (as applicable) long-term senior unsecured and uncredit-enhanced debt securities;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Notwithstanding the foregoing, any Obligor that is a Subsidiary of an Obligor that satisfies the definition of “Group A Obligor” shall be deemed to be a Group A Obligor and shall be aggregated with the Obligor that satisfies such definition for the purposes of determining the “Concentration Reserve Percentage”, the “Concentration Reserve” and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Agent</w:t>
      </w:r>
      <w:r>
        <w:rPr>
          <w:color w:val="000000"/>
        </w:rPr>
        <w:t xml:space="preserve">” </w:t>
      </w:r>
      <w:r>
        <w:rPr>
          <w:rFonts w:ascii="Times New Roman;sans-serif" w:hAnsi="Times New Roman;sans-serif"/>
          <w:b w:val="false"/>
          <w:color w:val="000000"/>
          <w:sz w:val="24"/>
        </w:rPr>
        <w:t>means each Person acting as agent on behalf of a Group and designated as the Group Agent for such Group on the signature pages to this Agreement or any other Person who becomes a party to this Agreement as a Group Agent for any Group pursuant to an Assumption Agreement, an Assignment and Acceptance Agreement or otherwise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Agent’s Account</w:t>
      </w:r>
      <w:r>
        <w:rPr>
          <w:color w:val="000000"/>
        </w:rPr>
        <w:t xml:space="preserve">” </w:t>
      </w:r>
      <w:r>
        <w:rPr>
          <w:rFonts w:ascii="Times New Roman;sans-serif" w:hAnsi="Times New Roman;sans-serif"/>
          <w:b w:val="false"/>
          <w:color w:val="000000"/>
          <w:sz w:val="24"/>
        </w:rPr>
        <w:t>means, with respect to any Group, the account(s) from time to time designated in writing by the applicable Group Agent to the Borrower and the Servicer for purposes of receiving payments to or for the account of the members of such Group 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B Obligor</w:t>
      </w:r>
      <w:r>
        <w:rPr>
          <w:color w:val="000000"/>
        </w:rPr>
        <w:t xml:space="preserve">” </w:t>
      </w:r>
      <w:r>
        <w:rPr>
          <w:rFonts w:ascii="Times New Roman;sans-serif" w:hAnsi="Times New Roman;sans-serif"/>
          <w:b w:val="false"/>
          <w:color w:val="000000"/>
          <w:sz w:val="24"/>
        </w:rPr>
        <w:t xml:space="preserve">means an Obligor (or its parent or majority owner, as applicable, if such Obligor is not rated) that is not a Group A Obligor, with a short-term rating of at least: (a) “A-2” by S&amp;P, or if such Obligor does not have a short-term rating from S&amp;P, a rating of “BBB+” to “A” by S&amp;P on such Obligor’s, its parent’s or its majority owner’s (as applicable) long-term senior unsecured and uncredit-enhanced debt securities,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 xml:space="preserve">(b) “P 2” by Moody’s, or if such Obligor does not have a short-term rating from Moody’s, “Baal” to “A2” by Moody’s on such Obligor’s, its parent’s or its majority owner’s (as applicable) long-term senior unsecured and uncredit-enhanced debt securities;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Notwithstanding the foregoing, any Obligor that is a Subsidiary of an Obligor that satisfies the definition of “Group B Obligor” shall be deemed to be </w:t>
      </w:r>
      <w:r>
        <w:br w:type="page"/>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2100"/>
                <wp:effectExtent l="0" t="0" r="0" b="0"/>
                <wp:wrapNone/>
                <wp:docPr id="79" name="Frame7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 Group B Obligor and shall be aggregated with the Obligor that satisfies such definition for the purposes of determining the “Concentration Reserve Percentage”, the “Concentration Reserve” and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C Obligor</w:t>
      </w:r>
      <w:r>
        <w:rPr>
          <w:color w:val="000000"/>
        </w:rPr>
        <w:t xml:space="preserve">” </w:t>
      </w:r>
      <w:r>
        <w:rPr>
          <w:rFonts w:ascii="Times New Roman;sans-serif" w:hAnsi="Times New Roman;sans-serif"/>
          <w:b w:val="false"/>
          <w:color w:val="000000"/>
          <w:sz w:val="24"/>
        </w:rPr>
        <w:t xml:space="preserve">means an Obligor (or its parent or majority owner, as applicable, if such Obligor is not rated) that is not a Group A Obligor or a Group B Obligor, with a short-term rating of at least: (a) “A-3” by S&amp;P, or if such Obligor does not have a short-term rating from S&amp;P, a rating of “BBB-” to “BBB” by S&amp;P on such Obligor’s, its parent’s or its majority owner’s (as applicable) long-term senior unsecured and uncredit-enhanced debt securities,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 xml:space="preserve">(b) “P 3” by Moody’s, or if such Obligor does not have a short-term rating from Moody’s, “Baa3” to “Baa2” by Moody’s on such Obligor’s, its parent’s or its majority owner’s (as applicable) long-term senior unsecured and uncredit-enhanced debt securities;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if an Obligor (or its parent or majority owner, as applicable, if such Obligor is not rated) receives a split rating from S&amp;P and Moody’s, then such Obligor (or its parent or majority owner, as applicable) shall be deemed to have the higher rating, and such deemed rating shall be used for the purposes of whether such rating satisfies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above. Notwithstanding the foregoing, any Obligor that is a Subsidiary of an Obligor that satisfies the definition of “Group C Obligor” shall be deemed to be a Group C Obligor and shall be aggregated with the Obligor that satisfies such definition for the purposes of determining the “Concentration Reserve Percentage”, the “Concentration Reserve” and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of the definition of “Excess Concentration” for such Obligors, unless such deemed Obligor separately satisfies the definition of “Group A Obligor”, “Group B Obligor”, or “Group C Obligor”, in which case such Obligor shall be separately treated as a Group A Obligor, a Group B Obligor or a Group C Obligor, as the case may be, and shall be aggregated and combined for such purposes with any of its Subsidiaries that are Obligors.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Commitment</w:t>
      </w:r>
      <w:r>
        <w:rPr>
          <w:color w:val="000000"/>
        </w:rPr>
        <w:t xml:space="preserve">” </w:t>
      </w:r>
      <w:r>
        <w:rPr>
          <w:rFonts w:ascii="Times New Roman;sans-serif" w:hAnsi="Times New Roman;sans-serif"/>
          <w:b w:val="false"/>
          <w:color w:val="000000"/>
          <w:sz w:val="24"/>
        </w:rPr>
        <w:t>means, with respect to any Group, at any time of determination, the aggregate Commitments of all Committed Lenders within such Group.</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Group D Obligor</w:t>
      </w:r>
      <w:r>
        <w:rPr>
          <w:color w:val="000000"/>
        </w:rPr>
        <w:t xml:space="preserve">” </w:t>
      </w:r>
      <w:r>
        <w:rPr>
          <w:rFonts w:ascii="Times New Roman;sans-serif" w:hAnsi="Times New Roman;sans-serif"/>
          <w:b w:val="false"/>
          <w:color w:val="000000"/>
          <w:sz w:val="24"/>
        </w:rPr>
        <w:t xml:space="preserve">means any Obligor that is not a Group A Obligor, Group B Obligor or Group C Obligor;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any Obligor (or its parent or majority owner, as applicable, if such Obligor is unrated) that is not rated by both Moody’s and S&amp;P shall be a Group D Obligor.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Guaranty</w:t>
      </w:r>
      <w:r>
        <w:rPr>
          <w:color w:val="000000"/>
        </w:rPr>
        <w:t xml:space="preserve">” </w:t>
      </w:r>
      <w:r>
        <w:rPr>
          <w:rFonts w:ascii="Times New Roman;sans-serif" w:hAnsi="Times New Roman;sans-serif"/>
          <w:b w:val="false"/>
          <w:color w:val="000000"/>
          <w:sz w:val="24"/>
        </w:rPr>
        <w:t>of any Person means any obligation of such Person guarantying or in effect guarantying any Debt, liability or obligation of any other Person in any manner, whether directly or indirectly, including any such liability arising by virtue of partnership agreements, including any agreement to indemnify or hold harmless any other Person, any performance bond or other surety ship arrangement and any other form of assurance against loss, except endorsement of negotiable or other instruments for deposit or collection in the ordinary course of business.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Indemnified Taxes</w:t>
      </w:r>
      <w:r>
        <w:rPr>
          <w:color w:val="000000"/>
        </w:rPr>
        <w:t xml:space="preserve">” </w:t>
      </w:r>
      <w:r>
        <w:rPr>
          <w:rFonts w:ascii="Times New Roman;sans-serif" w:hAnsi="Times New Roman;sans-serif"/>
          <w:b w:val="false"/>
          <w:color w:val="000000"/>
          <w:sz w:val="24"/>
        </w:rPr>
        <w:t xml:space="preserve">means (a) Taxes, other than Excluded Taxes, imposed on or with respect to any payment made by or on account of any obligation of the Borrower or any of its Affiliates under any Transaction Document and (b) to the extent not otherwise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Other Taxes.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Independent Director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7.03(c)</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Information Package</w:t>
      </w:r>
      <w:r>
        <w:rPr>
          <w:color w:val="000000"/>
        </w:rPr>
        <w:t xml:space="preserve">” </w:t>
      </w:r>
      <w:r>
        <w:rPr>
          <w:rFonts w:ascii="Times New Roman;sans-serif" w:hAnsi="Times New Roman;sans-serif"/>
          <w:b w:val="false"/>
          <w:color w:val="000000"/>
          <w:sz w:val="24"/>
        </w:rPr>
        <w:t xml:space="preserve">means a report, in substantially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Insolvency Proceeding</w:t>
      </w:r>
      <w:r>
        <w:rPr>
          <w:color w:val="000000"/>
        </w:rPr>
        <w:t xml:space="preserve">” </w:t>
      </w:r>
      <w:r>
        <w:rPr>
          <w:rFonts w:ascii="Times New Roman;sans-serif" w:hAnsi="Times New Roman;sans-serif"/>
          <w:b w:val="false"/>
          <w:color w:val="000000"/>
          <w:sz w:val="24"/>
        </w:rPr>
        <w:t xml:space="preserve">means (a) any case, action or proceeding before any court or other Governmental Authority relating to bankruptcy, reorganization, insolvency, liquidation, </w:t>
      </w:r>
      <w:r>
        <w:br w:type="page"/>
      </w:r>
    </w:p>
    <w:p>
      <w:pPr>
        <w:pStyle w:val="TextBody"/>
        <w:spacing w:before="0" w:after="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2100"/>
                <wp:effectExtent l="0" t="0" r="0" b="0"/>
                <wp:wrapNone/>
                <wp:docPr id="80" name="Frame8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receivership, dissolution, winding-up or relief of debtors or (b) any general assignment for the benefit of creditors of a Person, composition, marshaling of assets for creditors of a Person, or other, similar arrangement in respect of its creditors generally or any substantial portion of its creditors, in each of clauses (a) and (b) undertaken under U.S. Federal, state or foreign law, including the Bankruptcy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Integra Party</w:t>
      </w:r>
      <w:r>
        <w:rPr>
          <w:color w:val="000000"/>
        </w:rPr>
        <w:t xml:space="preserve">” </w:t>
      </w:r>
      <w:r>
        <w:rPr>
          <w:rFonts w:ascii="Times New Roman;sans-serif" w:hAnsi="Times New Roman;sans-serif"/>
          <w:b w:val="false"/>
          <w:color w:val="000000"/>
          <w:sz w:val="24"/>
        </w:rPr>
        <w:t>means, the Borrower, the Servicer, each Originator and the Performance Guarantor, either individually or collectively as the context may require.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Integra Sales</w:t>
      </w:r>
      <w:r>
        <w:rPr>
          <w:color w:val="000000"/>
        </w:rPr>
        <w:t xml:space="preserve">” </w:t>
      </w:r>
      <w:r>
        <w:rPr>
          <w:rFonts w:ascii="Times New Roman;sans-serif" w:hAnsi="Times New Roman;sans-serif"/>
          <w:b w:val="false"/>
          <w:color w:val="000000"/>
          <w:sz w:val="24"/>
        </w:rPr>
        <w:t>has the meaning set forth in the preamble to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Intended Tax Treatment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13.14</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Interest</w:t>
      </w:r>
      <w:r>
        <w:rPr>
          <w:color w:val="000000"/>
        </w:rPr>
        <w:t xml:space="preserve">” </w:t>
      </w:r>
      <w:r>
        <w:rPr>
          <w:rFonts w:ascii="Times New Roman;sans-serif" w:hAnsi="Times New Roman;sans-serif"/>
          <w:b w:val="false"/>
          <w:color w:val="000000"/>
          <w:sz w:val="24"/>
        </w:rPr>
        <w:t xml:space="preserve">means, for each Loan for any day during any Interest Period (or portion thereof), the amount of interest accrued on the Capital of such Loan during such Interest Period (or portion thereof) in accordance with </w:t>
      </w:r>
      <w:r>
        <w:rPr>
          <w:rFonts w:ascii="Times New Roman;sans-serif" w:hAnsi="Times New Roman;sans-serif"/>
          <w:b w:val="false"/>
          <w:color w:val="000000"/>
          <w:sz w:val="24"/>
          <w:u w:val="single"/>
        </w:rPr>
        <w:t>Section 2.03(b)</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Interest Period</w:t>
      </w:r>
      <w:r>
        <w:rPr>
          <w:color w:val="000000"/>
        </w:rPr>
        <w:t xml:space="preserve">” </w:t>
      </w:r>
      <w:r>
        <w:rPr>
          <w:rFonts w:ascii="Times New Roman;sans-serif" w:hAnsi="Times New Roman;sans-serif"/>
          <w:b w:val="false"/>
          <w:color w:val="000000"/>
          <w:sz w:val="24"/>
        </w:rPr>
        <w:t xml:space="preserve">means, with respect to each Loan, (a) before the Termination Date: (i) initially, the period commencing on the date such Loan is made pursuant to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(or in the case of any fees payable hereunder, commencing on the Closing Date) and ending on (but not including) the next Monthly Settlement Date and (ii) thereafter, each period commencing on such Monthly Settlement Date and ending on (but not including) the next Monthly Settlement Date and (b) on and after the Termination Date, such period (including a period of one day) as shall be selected from time to time by the Administrative Agent (with the consent or at the direction of the Majority Group Agents) or, in the absence of any such selection, each period of thirty (30) calendar days from the last day of the preceding Interest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Interest Rate</w:t>
      </w:r>
      <w:r>
        <w:rPr>
          <w:color w:val="000000"/>
        </w:rPr>
        <w:t xml:space="preserve">” </w:t>
      </w:r>
      <w:r>
        <w:rPr>
          <w:rFonts w:ascii="Times New Roman;sans-serif" w:hAnsi="Times New Roman;sans-serif"/>
          <w:b w:val="false"/>
          <w:color w:val="000000"/>
          <w:sz w:val="24"/>
        </w:rPr>
        <w:t>means, for any day in any Interest Period for any Loan (or any portion of Capital thereof):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(1)if such Loan (or such portion of Capital thereof) is being funded by a Conduit Lender on such day through the issuance of Notes, the applicable CP Rate; or</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(2)if such Loan (or such portion of Capital thereof) is being funded by any Lender on such day other than through the issuance of Notes (including, without limitation, if a Conduit Lender is then funding such Loan (or such portion of Capital thereof) under a Program Support Agreement, or if a Committed Lender is then funding such Loan (or such portion of Capital thereof)), then the Base Rate, the Term SOFR Rate or the Daily SOFR Rate as determined pursuant to </w:t>
      </w:r>
      <w:r>
        <w:rPr>
          <w:rFonts w:ascii="Times New Roman;sans-serif" w:hAnsi="Times New Roman;sans-serif"/>
          <w:b w:val="false"/>
          <w:color w:val="000000"/>
          <w:sz w:val="24"/>
          <w:u w:val="single"/>
        </w:rPr>
        <w:t>Section 2.05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Interest Rate applicable to any Loan that is not advanced on a Monthly Settlement Date shall be the Daily SOFR Rate for each day during the initial Interest Period applicable to such Loan from the date such Loan is made pursuant to </w:t>
      </w:r>
      <w:r>
        <w:rPr>
          <w:rFonts w:ascii="Times New Roman;sans-serif" w:hAnsi="Times New Roman;sans-serif"/>
          <w:b w:val="false"/>
          <w:color w:val="000000"/>
          <w:sz w:val="24"/>
          <w:u w:val="single"/>
        </w:rPr>
        <w:t>Section 2.01</w:t>
      </w:r>
      <w:r>
        <w:rPr>
          <w:color w:val="000000"/>
        </w:rPr>
        <w:t xml:space="preserve"> </w:t>
      </w:r>
      <w:r>
        <w:rPr>
          <w:rFonts w:ascii="Times New Roman;sans-serif" w:hAnsi="Times New Roman;sans-serif"/>
          <w:b w:val="false"/>
          <w:color w:val="000000"/>
          <w:sz w:val="24"/>
        </w:rPr>
        <w:t>until the next occurring Monthly Settlement Date.</w:t>
      </w:r>
    </w:p>
    <w:p>
      <w:pPr>
        <w:pStyle w:val="TextBody"/>
        <w:spacing w:lineRule="auto" w:line="240" w:before="0" w:after="240"/>
        <w:jc w:val="both"/>
        <w:rPr/>
      </w:pP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“Interest Rate” for each Loan and any day while an Event of Default has occurred and is continuing shall be an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equal the sum of two and a half percent (2.50)%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plus the greater of (i) the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determined for such Loan and such day pursuant to clause (a) or (b) above, as applicable, and (ii) the Base Rate in effect on such day;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 provision of this Agreement shall require the payment or permit the collection of Interest in excess of the maximum permitted by Applicable Law;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Interest for any Loan shall not be considered paid by any distribution to the extent that at any time all or a portion of such distribution is rescinded or must otherwise be returned for any reason.</w:t>
      </w:r>
      <w:r>
        <w:br w:type="page"/>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2100"/>
                <wp:effectExtent l="0" t="0" r="0" b="0"/>
                <wp:wrapNone/>
                <wp:docPr id="81" name="Frame8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Interim Report</w:t>
      </w:r>
      <w:r>
        <w:rPr>
          <w:color w:val="000000"/>
        </w:rPr>
        <w:t xml:space="preserve">” </w:t>
      </w:r>
      <w:r>
        <w:rPr>
          <w:rFonts w:ascii="Times New Roman;sans-serif" w:hAnsi="Times New Roman;sans-serif"/>
          <w:b w:val="false"/>
          <w:color w:val="000000"/>
          <w:sz w:val="24"/>
        </w:rPr>
        <w:t xml:space="preserve">means a report, in substantially the form of </w:t>
      </w: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In-Transit Receivable</w:t>
      </w:r>
      <w:r>
        <w:rPr>
          <w:color w:val="000000"/>
        </w:rPr>
        <w:t xml:space="preserve">” </w:t>
      </w:r>
      <w:r>
        <w:rPr>
          <w:rFonts w:ascii="Times New Roman;sans-serif" w:hAnsi="Times New Roman;sans-serif"/>
          <w:b w:val="false"/>
          <w:color w:val="000000"/>
          <w:sz w:val="24"/>
        </w:rPr>
        <w:t>means, at any time, any Receivable arising in connection with the sale of any goods or merchandise that as of such time, have been shipped but not delivered to the related Obligor.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Investment Company Act</w:t>
      </w:r>
      <w:r>
        <w:rPr>
          <w:color w:val="000000"/>
        </w:rPr>
        <w:t xml:space="preserve">” </w:t>
      </w:r>
      <w:r>
        <w:rPr>
          <w:rFonts w:ascii="Times New Roman;sans-serif" w:hAnsi="Times New Roman;sans-serif"/>
          <w:b w:val="false"/>
          <w:color w:val="000000"/>
          <w:sz w:val="24"/>
        </w:rPr>
        <w:t>means the Investment Company Act of 1940, as amended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Lenders</w:t>
      </w:r>
      <w:r>
        <w:rPr>
          <w:color w:val="000000"/>
        </w:rPr>
        <w:t xml:space="preserve">” </w:t>
      </w:r>
      <w:r>
        <w:rPr>
          <w:rFonts w:ascii="Times New Roman;sans-serif" w:hAnsi="Times New Roman;sans-serif"/>
          <w:b w:val="false"/>
          <w:color w:val="000000"/>
          <w:sz w:val="24"/>
        </w:rPr>
        <w:t>means the Conduit Lenders and the Committed Lenders.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Linked Account</w:t>
      </w:r>
      <w:r>
        <w:rPr>
          <w:color w:val="000000"/>
        </w:rPr>
        <w:t xml:space="preserve">” </w:t>
      </w:r>
      <w:r>
        <w:rPr>
          <w:rFonts w:ascii="Times New Roman;sans-serif" w:hAnsi="Times New Roman;sans-serif"/>
          <w:b w:val="false"/>
          <w:color w:val="000000"/>
          <w:sz w:val="24"/>
        </w:rPr>
        <w:t>means any deposit account which is or could be linked to a Collection Account by a controlled balance arrangement.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Liquidity Amount</w:t>
      </w:r>
      <w:r>
        <w:rPr>
          <w:color w:val="000000"/>
        </w:rPr>
        <w:t xml:space="preserve">” </w:t>
      </w:r>
      <w:r>
        <w:rPr>
          <w:rFonts w:ascii="Times New Roman;sans-serif" w:hAnsi="Times New Roman;sans-serif"/>
          <w:b w:val="false"/>
          <w:color w:val="000000"/>
          <w:sz w:val="24"/>
        </w:rPr>
        <w:t xml:space="preserve">means, on any date of determination, the sum of (a) the amount of borrowing availability under the Credit Agreement,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unrestricted cash balances and liquid investments held by the Parent and its Affiliates.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Liquidity Agent</w:t>
      </w:r>
      <w:r>
        <w:rPr>
          <w:color w:val="000000"/>
        </w:rPr>
        <w:t xml:space="preserve">” </w:t>
      </w:r>
      <w:r>
        <w:rPr>
          <w:rFonts w:ascii="Times New Roman;sans-serif" w:hAnsi="Times New Roman;sans-serif"/>
          <w:b w:val="false"/>
          <w:color w:val="000000"/>
          <w:sz w:val="24"/>
        </w:rPr>
        <w:t>means any bank or other financial institution acting as agent for the various Liquidity Providers under each Liquidity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Liquidity Agreement</w:t>
      </w:r>
      <w:r>
        <w:rPr>
          <w:color w:val="000000"/>
        </w:rPr>
        <w:t xml:space="preserve">” </w:t>
      </w:r>
      <w:r>
        <w:rPr>
          <w:rFonts w:ascii="Times New Roman;sans-serif" w:hAnsi="Times New Roman;sans-serif"/>
          <w:b w:val="false"/>
          <w:color w:val="000000"/>
          <w:sz w:val="24"/>
        </w:rPr>
        <w:t>means any agreement entered into in connection with this Agreement pursuant to which a Liquidity Provider agrees to make purchases or advances to, or purchase assets from, any Conduit Lender in order to provide liquidity for such Conduit Lender’s Loans.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Liquidity Provider</w:t>
      </w:r>
      <w:r>
        <w:rPr>
          <w:color w:val="000000"/>
        </w:rPr>
        <w:t xml:space="preserve">” </w:t>
      </w:r>
      <w:r>
        <w:rPr>
          <w:rFonts w:ascii="Times New Roman;sans-serif" w:hAnsi="Times New Roman;sans-serif"/>
          <w:b w:val="false"/>
          <w:color w:val="000000"/>
          <w:sz w:val="24"/>
        </w:rPr>
        <w:t>means each bank or other financial institution that provides liquidity support to any Conduit Lender pursuant to the terms of a Liquidity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Loan</w:t>
      </w:r>
      <w:r>
        <w:rPr>
          <w:color w:val="000000"/>
        </w:rPr>
        <w:t xml:space="preserve">” </w:t>
      </w:r>
      <w:r>
        <w:rPr>
          <w:rFonts w:ascii="Times New Roman;sans-serif" w:hAnsi="Times New Roman;sans-serif"/>
          <w:b w:val="false"/>
          <w:color w:val="000000"/>
          <w:sz w:val="24"/>
        </w:rPr>
        <w:t xml:space="preserve">means any loan made by a Lender pursuant to </w:t>
      </w:r>
      <w:r>
        <w:rPr>
          <w:rFonts w:ascii="Times New Roman;sans-serif" w:hAnsi="Times New Roman;sans-serif"/>
          <w:b w:val="false"/>
          <w:color w:val="000000"/>
          <w:sz w:val="24"/>
          <w:u w:val="single"/>
        </w:rPr>
        <w:t>Section 2.01</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Loan Request</w:t>
      </w:r>
      <w:r>
        <w:rPr>
          <w:color w:val="000000"/>
        </w:rPr>
        <w:t xml:space="preserve">” </w:t>
      </w:r>
      <w:r>
        <w:rPr>
          <w:rFonts w:ascii="Times New Roman;sans-serif" w:hAnsi="Times New Roman;sans-serif"/>
          <w:b w:val="false"/>
          <w:color w:val="000000"/>
          <w:sz w:val="24"/>
        </w:rPr>
        <w:t xml:space="preserve">means a letter in substantially the form of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hereto executed and delivered by the Borrower to the Administrative Agent and the Group Agents pursuant to </w:t>
      </w:r>
      <w:r>
        <w:rPr>
          <w:rFonts w:ascii="Times New Roman;sans-serif" w:hAnsi="Times New Roman;sans-serif"/>
          <w:b w:val="false"/>
          <w:color w:val="000000"/>
          <w:sz w:val="24"/>
          <w:u w:val="single"/>
        </w:rPr>
        <w:t>Section 2.02(a)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Lock-Box</w:t>
      </w:r>
      <w:r>
        <w:rPr>
          <w:color w:val="000000"/>
        </w:rPr>
        <w:t xml:space="preserve">” </w:t>
      </w:r>
      <w:r>
        <w:rPr>
          <w:rFonts w:ascii="Times New Roman;sans-serif" w:hAnsi="Times New Roman;sans-serif"/>
          <w:b w:val="false"/>
          <w:color w:val="000000"/>
          <w:sz w:val="24"/>
        </w:rPr>
        <w:t xml:space="preserve">means each locked postal box with respect to which a Collection Account Bank has executed an Account Control Agreement pursuant to which it has been granted exclusive access for the purpose of retrieving and processing payments made on the Receivables and which is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(as such schedule may be modified from time to time in connection with the addition or removal of any Lock-Box in accordance with the terms 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 Horizon Ratio</w:t>
      </w:r>
      <w:r>
        <w:rPr>
          <w:color w:val="000000"/>
        </w:rPr>
        <w:t xml:space="preserve">” </w:t>
      </w:r>
      <w:r>
        <w:rPr>
          <w:rFonts w:ascii="Times New Roman;sans-serif" w:hAnsi="Times New Roman;sans-serif"/>
          <w:b w:val="false"/>
          <w:color w:val="000000"/>
          <w:sz w:val="24"/>
        </w:rPr>
        <w:t xml:space="preserve">means, for any Fiscal Month, the ratio (expressed as a percentage and rounded to the nearest 1/100 of 1%, with 5/1000th of 1% rounded upward) computed, as of the last day of such Fiscal Month, by </w:t>
      </w:r>
      <w:r>
        <w:rPr>
          <w:rFonts w:ascii="Times New Roman;sans-serif" w:hAnsi="Times New Roman;sans-serif"/>
          <w:b w:val="false"/>
          <w:color w:val="000000"/>
          <w:sz w:val="24"/>
          <w:u w:val="single"/>
        </w:rPr>
        <w:t>dividing</w:t>
      </w:r>
      <w:r>
        <w:rPr>
          <w:rFonts w:ascii="Times New Roman;sans-serif" w:hAnsi="Times New Roman;sans-serif"/>
          <w:b w:val="false"/>
          <w:color w:val="000000"/>
          <w:sz w:val="24"/>
        </w:rPr>
        <w:t xml:space="preserve">: (a) the sum of (i) the aggregate initial Outstanding Balance of all Pool Receivables (other than Unbilled Receivables) generated by the Originators during the five (5) most recent Fiscal Months,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the product of (x) the sum of the Loss Horizon Terms Component,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five percent (5.00%),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 xml:space="preserve">(y) the aggregate initial Outstanding Balance of all Pool Receivables originated by the Originators during the sixth (6th) most recent Fiscal Month;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Net Receivables Pool Balance as of such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 Horizon Terms Component</w:t>
      </w:r>
      <w:r>
        <w:rPr>
          <w:color w:val="000000"/>
        </w:rPr>
        <w:t xml:space="preserve">” </w:t>
      </w:r>
      <w:r>
        <w:rPr>
          <w:rFonts w:ascii="Times New Roman;sans-serif" w:hAnsi="Times New Roman;sans-serif"/>
          <w:b w:val="false"/>
          <w:color w:val="000000"/>
          <w:sz w:val="24"/>
        </w:rPr>
        <w:t xml:space="preserve">means (a) the Weighted Average Remaining Credit Terms of the most recent Fiscal Month minus thirty (30) </w:t>
      </w:r>
      <w:r>
        <w:rPr>
          <w:rFonts w:ascii="Times New Roman;sans-serif" w:hAnsi="Times New Roman;sans-serif"/>
          <w:b w:val="false"/>
          <w:color w:val="000000"/>
          <w:sz w:val="24"/>
          <w:u w:val="single"/>
        </w:rPr>
        <w:t>divided by</w:t>
      </w:r>
      <w:r>
        <w:rPr>
          <w:color w:val="000000"/>
        </w:rPr>
        <w:t xml:space="preserve"> </w:t>
      </w:r>
      <w:r>
        <w:rPr>
          <w:rFonts w:ascii="Times New Roman;sans-serif" w:hAnsi="Times New Roman;sans-serif"/>
          <w:b w:val="false"/>
          <w:color w:val="000000"/>
          <w:sz w:val="24"/>
        </w:rPr>
        <w:t>(b) thirty (30).</w:t>
      </w:r>
      <w:r>
        <w:br w:type="page"/>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2100"/>
                <wp:effectExtent l="0" t="0" r="0" b="0"/>
                <wp:wrapNone/>
                <wp:docPr id="82" name="Frame8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Loss Reserve Percentage</w:t>
      </w:r>
      <w:r>
        <w:rPr>
          <w:color w:val="000000"/>
        </w:rPr>
        <w:t xml:space="preserve">” </w:t>
      </w:r>
      <w:r>
        <w:rPr>
          <w:rFonts w:ascii="Times New Roman;sans-serif" w:hAnsi="Times New Roman;sans-serif"/>
          <w:b w:val="false"/>
          <w:color w:val="000000"/>
          <w:sz w:val="24"/>
        </w:rPr>
        <w:t xml:space="preserve">means, at any time of determination, the product of (a) 2.00, </w:t>
      </w:r>
      <w:r>
        <w:rPr>
          <w:rFonts w:ascii="Times New Roman;sans-serif" w:hAnsi="Times New Roman;sans-serif"/>
          <w:b w:val="false"/>
          <w:color w:val="000000"/>
          <w:sz w:val="24"/>
          <w:u w:val="single"/>
        </w:rPr>
        <w:t>times</w:t>
      </w:r>
      <w:r>
        <w:rPr>
          <w:color w:val="000000"/>
        </w:rPr>
        <w:t xml:space="preserve"> </w:t>
      </w:r>
      <w:r>
        <w:rPr>
          <w:rFonts w:ascii="Times New Roman;sans-serif" w:hAnsi="Times New Roman;sans-serif"/>
          <w:b w:val="false"/>
          <w:color w:val="000000"/>
          <w:sz w:val="24"/>
        </w:rPr>
        <w:t xml:space="preserve">(b) the highest average of the Default Ratios for any three consecutive Fiscal Months during the twelve (12) most recent Fiscal Months, </w:t>
      </w:r>
      <w:r>
        <w:rPr>
          <w:rFonts w:ascii="Times New Roman;sans-serif" w:hAnsi="Times New Roman;sans-serif"/>
          <w:b w:val="false"/>
          <w:color w:val="000000"/>
          <w:sz w:val="24"/>
          <w:u w:val="single"/>
        </w:rPr>
        <w:t>times</w:t>
      </w:r>
      <w:r>
        <w:rPr>
          <w:color w:val="000000"/>
        </w:rPr>
        <w:t xml:space="preserve"> </w:t>
      </w:r>
      <w:r>
        <w:rPr>
          <w:rFonts w:ascii="Times New Roman;sans-serif" w:hAnsi="Times New Roman;sans-serif"/>
          <w:b w:val="false"/>
          <w:color w:val="000000"/>
          <w:sz w:val="24"/>
        </w:rPr>
        <w:t>(c) the Loss Horizon Ratio.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Majority Group Agents</w:t>
      </w:r>
      <w:r>
        <w:rPr>
          <w:color w:val="000000"/>
        </w:rPr>
        <w:t xml:space="preserve">” </w:t>
      </w:r>
      <w:r>
        <w:rPr>
          <w:rFonts w:ascii="Times New Roman;sans-serif" w:hAnsi="Times New Roman;sans-serif"/>
          <w:b w:val="false"/>
          <w:color w:val="000000"/>
          <w:sz w:val="24"/>
        </w:rPr>
        <w:t xml:space="preserve">means one or more Group Agents which in its Group, or their combined Groups, as the case may be, have Committed Lenders representing more than fifty percent (50%) of the aggregate Commitments of all Committed Lenders in all Groups (or, if the Commitments have been terminated, have Lenders representing more than fifty percent (50%) of the aggregate outstanding Capital held by all the Lenders in all Groups);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no event shall the Majority Group Agents include fewer than two (2) Group Agents at any time when there are two (2) or more Groups.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Material Adverse Effect</w:t>
      </w:r>
      <w:r>
        <w:rPr>
          <w:color w:val="000000"/>
        </w:rPr>
        <w:t xml:space="preserve">” </w:t>
      </w:r>
      <w:r>
        <w:rPr>
          <w:rFonts w:ascii="Times New Roman;sans-serif" w:hAnsi="Times New Roman;sans-serif"/>
          <w:b w:val="false"/>
          <w:color w:val="000000"/>
          <w:sz w:val="24"/>
        </w:rPr>
        <w:t>means relative to any Person (provided that if no particular Person is specified, “Material Adverse Effect” shall be deemed to be relative to the Borrower, the Servicer, the Performance Guarantor and the Originators, individually and in the aggregate) with respect to any event or circumstance, a material adverse effect on any of the following:</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assets, operations, business or financial condition of such Person;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ability of such Person to perform its obligations under this Agreement or any other Transaction Document to which it is a party;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(3)the validity or enforceability of this Agreement or any other Transaction Document, or the validity, enforceability, value or collectibility of any material portion of the Pool Receivables;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(4)the status, perfection, enforceability or priority of the Administrative Agent’s security interest in the Collateral;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(5)the rights and remedies of any Credit Party under the Transaction Documents or associated with its respective interest in the Collateral.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Dilution Reserve Percentage</w:t>
      </w:r>
      <w:r>
        <w:rPr>
          <w:color w:val="000000"/>
        </w:rPr>
        <w:t xml:space="preserve">” </w:t>
      </w:r>
      <w:r>
        <w:rPr>
          <w:rFonts w:ascii="Times New Roman;sans-serif" w:hAnsi="Times New Roman;sans-serif"/>
          <w:b w:val="false"/>
          <w:color w:val="000000"/>
          <w:sz w:val="24"/>
        </w:rPr>
        <w:t xml:space="preserve">means, on any day, the product (expressed as a percentage and rounded to the nearest 1/100 of 1%, with 5/1000th of 1% rounded upward) of (a) the average of the Dilution Ratios for the twelve (12) most recent Fiscal Months,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(b) the Dilution Horizon Ratio.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Funding Threshold</w:t>
      </w:r>
      <w:r>
        <w:rPr>
          <w:color w:val="000000"/>
        </w:rPr>
        <w:t xml:space="preserve">” </w:t>
      </w:r>
      <w:r>
        <w:rPr>
          <w:rFonts w:ascii="Times New Roman;sans-serif" w:hAnsi="Times New Roman;sans-serif"/>
          <w:b w:val="false"/>
          <w:color w:val="000000"/>
          <w:sz w:val="24"/>
        </w:rPr>
        <w:t xml:space="preserve">means an amount equal to the lesser of (a) seventy five percent (75%) of the Facility Limit and (b) the Borrowing Base.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Minimum Liquidity Amount</w:t>
      </w:r>
      <w:r>
        <w:rPr>
          <w:color w:val="000000"/>
        </w:rPr>
        <w:t xml:space="preserve">” </w:t>
      </w:r>
      <w:r>
        <w:rPr>
          <w:rFonts w:ascii="Times New Roman;sans-serif" w:hAnsi="Times New Roman;sans-serif"/>
          <w:b w:val="false"/>
          <w:color w:val="000000"/>
          <w:sz w:val="24"/>
        </w:rPr>
        <w:t>means a Liquidity Amount that is equal to or greater than three hundred million dollars ($300,000,000).</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Monthly Settlement Date</w:t>
      </w:r>
      <w:r>
        <w:rPr>
          <w:color w:val="000000"/>
        </w:rPr>
        <w:t xml:space="preserve">” </w:t>
      </w:r>
      <w:r>
        <w:rPr>
          <w:rFonts w:ascii="Times New Roman;sans-serif" w:hAnsi="Times New Roman;sans-serif"/>
          <w:b w:val="false"/>
          <w:color w:val="000000"/>
          <w:sz w:val="24"/>
        </w:rPr>
        <w:t>means the twenty-fifth (25th) calendar day of each calendar month (or if such day is not a Business Day, the next occurring Business Day).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Moody’s</w:t>
      </w:r>
      <w:r>
        <w:rPr>
          <w:color w:val="000000"/>
        </w:rPr>
        <w:t xml:space="preserve">” </w:t>
      </w:r>
      <w:r>
        <w:rPr>
          <w:rFonts w:ascii="Times New Roman;sans-serif" w:hAnsi="Times New Roman;sans-serif"/>
          <w:b w:val="false"/>
          <w:color w:val="000000"/>
          <w:sz w:val="24"/>
        </w:rPr>
        <w:t>means Moody’s Investors Service, Inc. and any successor thereto that is a nationally recognized statistical rating organization.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Multiemployer Plan</w:t>
      </w:r>
      <w:r>
        <w:rPr>
          <w:color w:val="000000"/>
        </w:rPr>
        <w:t xml:space="preserve">” </w:t>
      </w:r>
      <w:r>
        <w:rPr>
          <w:rFonts w:ascii="Times New Roman;sans-serif" w:hAnsi="Times New Roman;sans-serif"/>
          <w:b w:val="false"/>
          <w:color w:val="000000"/>
          <w:sz w:val="24"/>
        </w:rPr>
        <w:t xml:space="preserve">means a multiemployer plan as defined in Section 4001(a)(3) of ERISA to which the Borrower, the Servicer, any Originator, the Parent or any of their respective ERISA Affiliates (other than one considered an ERISA Affiliate only pursuant to subsection (m) or (o) of Section 414 of the Code) is making or accruing an obligation to make contributions, or </w:t>
      </w:r>
      <w:r>
        <w:br w:type="page"/>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2100"/>
                <wp:effectExtent l="0" t="0" r="0" b="0"/>
                <wp:wrapNone/>
                <wp:docPr id="83" name="Frame8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has within any of the preceding five plan years made or accrued an obligation to make contributions.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Net Receivables Pool Balance</w:t>
      </w:r>
      <w:r>
        <w:rPr>
          <w:color w:val="000000"/>
        </w:rPr>
        <w:t xml:space="preserve">” </w:t>
      </w:r>
      <w:r>
        <w:rPr>
          <w:rFonts w:ascii="Times New Roman;sans-serif" w:hAnsi="Times New Roman;sans-serif"/>
          <w:b w:val="false"/>
          <w:color w:val="000000"/>
          <w:sz w:val="24"/>
        </w:rPr>
        <w:t xml:space="preserve">means, at any time of determination: (a) the aggregate Outstanding Balance of Eligible Receivables then in the Receivables Pool,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Excess Concentration.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Notes</w:t>
      </w:r>
      <w:r>
        <w:rPr>
          <w:color w:val="000000"/>
        </w:rPr>
        <w:t xml:space="preserve">” </w:t>
      </w:r>
      <w:r>
        <w:rPr>
          <w:rFonts w:ascii="Times New Roman;sans-serif" w:hAnsi="Times New Roman;sans-serif"/>
          <w:b w:val="false"/>
          <w:color w:val="000000"/>
          <w:sz w:val="24"/>
        </w:rPr>
        <w:t>means short-term promissory notes issued, or to be issued, by any Conduit Lender to fund its investments in accounts receivable or other financial assets.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Obligor</w:t>
      </w:r>
      <w:r>
        <w:rPr>
          <w:color w:val="000000"/>
        </w:rPr>
        <w:t xml:space="preserve">” </w:t>
      </w:r>
      <w:r>
        <w:rPr>
          <w:rFonts w:ascii="Times New Roman;sans-serif" w:hAnsi="Times New Roman;sans-serif"/>
          <w:b w:val="false"/>
          <w:color w:val="000000"/>
          <w:sz w:val="24"/>
        </w:rPr>
        <w:t>means, with respect to any Receivable, the Person obligated to make payments pursuant to the Contract relating to such Receivable.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Obligor Percentage</w:t>
      </w:r>
      <w:r>
        <w:rPr>
          <w:color w:val="000000"/>
        </w:rPr>
        <w:t xml:space="preserve">” </w:t>
      </w:r>
      <w:r>
        <w:rPr>
          <w:rFonts w:ascii="Times New Roman;sans-serif" w:hAnsi="Times New Roman;sans-serif"/>
          <w:b w:val="false"/>
          <w:color w:val="000000"/>
          <w:sz w:val="24"/>
        </w:rPr>
        <w:t>means, at any time of determination, for each Obligor, a fraction, expressed as a percentage, (a) the numerator of which is the aggregate Outstanding Balance of the Eligible Receivables of such Obligor less the amount (if any) then included in the calculation of the Excess Concentration with respect to such Obligor and (b) the denominator of which is the aggregate Outstanding Balance of all Eligible Receivables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OFAC</w:t>
      </w:r>
      <w:r>
        <w:rPr>
          <w:color w:val="000000"/>
        </w:rPr>
        <w:t xml:space="preserve">” </w:t>
      </w:r>
      <w:r>
        <w:rPr>
          <w:rFonts w:ascii="Times New Roman;sans-serif" w:hAnsi="Times New Roman;sans-serif"/>
          <w:b w:val="false"/>
          <w:color w:val="000000"/>
          <w:sz w:val="24"/>
        </w:rPr>
        <w:t>means the U.S. Department of Treasury’s Office of Foreign Assets Control.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Originator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color w:val="000000"/>
          <w:sz w:val="24"/>
          <w:u w:val="single"/>
        </w:rPr>
        <w:t>Originators</w:t>
      </w:r>
      <w:r>
        <w:rPr>
          <w:color w:val="000000"/>
        </w:rPr>
        <w:t xml:space="preserve">” </w:t>
      </w:r>
      <w:r>
        <w:rPr>
          <w:rFonts w:ascii="Times New Roman;sans-serif" w:hAnsi="Times New Roman;sans-serif"/>
          <w:b w:val="false"/>
          <w:color w:val="000000"/>
          <w:sz w:val="24"/>
        </w:rPr>
        <w:t>have the meaning set forth in the Purchase and Sale Agreement, as the same may be modified from time to time by adding new Originators or removing Originators, in each case with the prior written consent of the Administrative Agent.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Connection Taxes</w:t>
      </w:r>
      <w:r>
        <w:rPr>
          <w:color w:val="000000"/>
        </w:rPr>
        <w:t xml:space="preserve">” </w:t>
      </w:r>
      <w:r>
        <w:rPr>
          <w:rFonts w:ascii="Times New Roman;sans-serif" w:hAnsi="Times New Roman;sans-serif"/>
          <w:b w:val="false"/>
          <w:color w:val="000000"/>
          <w:sz w:val="24"/>
        </w:rPr>
        <w:t>means, with respect to any Affected Person, Taxes imposed as a result of a present or former connection between such Affected Person and the jurisdiction imposing such Tax (other than connections arising from such Affected Person having executed, delivered, become a party to, performed its obligations under, received payments under, received or perfected a security interest under, engaged in any other transaction pursuant to or enforced any Transaction Document, or sold or assigned an interest in any Loan or Transaction Document).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Other Taxes</w:t>
      </w:r>
      <w:r>
        <w:rPr>
          <w:color w:val="000000"/>
        </w:rPr>
        <w:t xml:space="preserve">” </w:t>
      </w:r>
      <w:r>
        <w:rPr>
          <w:rFonts w:ascii="Times New Roman;sans-serif" w:hAnsi="Times New Roman;sans-serif"/>
          <w:b w:val="false"/>
          <w:color w:val="000000"/>
          <w:sz w:val="24"/>
        </w:rPr>
        <w:t>means any and all present or future stamp or documentary Taxes or any other excise or property Taxes, charges or similar levies or fees arising from any payment made hereunder or from the execution, delivery, filing, recording or enforcement of, or otherwise in respect of, this Agreement, the other Transaction Documents and the other documents or agreements to be delivered hereunder or thereunder, except any such Taxes that are Other Connection Taxes imposed with respect to an assignment.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Outstanding Balance</w:t>
      </w:r>
      <w:r>
        <w:rPr>
          <w:color w:val="000000"/>
        </w:rPr>
        <w:t xml:space="preserve">” </w:t>
      </w:r>
      <w:r>
        <w:rPr>
          <w:rFonts w:ascii="Times New Roman;sans-serif" w:hAnsi="Times New Roman;sans-serif"/>
          <w:b w:val="false"/>
          <w:color w:val="000000"/>
          <w:sz w:val="24"/>
        </w:rPr>
        <w:t>means, at any time of determination, with respect to any Receivable, the then outstanding principal balance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Overnight Bank Funding Rate</w:t>
      </w:r>
      <w:r>
        <w:rPr>
          <w:color w:val="000000"/>
        </w:rPr>
        <w:t xml:space="preserve">” </w:t>
      </w:r>
      <w:r>
        <w:rPr>
          <w:rFonts w:ascii="Times New Roman;sans-serif" w:hAnsi="Times New Roman;sans-serif"/>
          <w:b w:val="false"/>
          <w:color w:val="000000"/>
          <w:sz w:val="24"/>
        </w:rPr>
        <w:t xml:space="preserve">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Administrative Agent at such time (which determination shall be conclusive absent manifest error). If the </w:t>
      </w:r>
      <w:r>
        <w:br w:type="page"/>
      </w:r>
    </w:p>
    <w:p>
      <w:pPr>
        <w:pStyle w:val="TextBody"/>
        <w:spacing w:before="0" w:after="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2100"/>
                <wp:effectExtent l="0" t="0" r="0" b="0"/>
                <wp:wrapNone/>
                <wp:docPr id="84" name="Frame8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Parent</w:t>
      </w:r>
      <w:r>
        <w:rPr>
          <w:color w:val="000000"/>
        </w:rPr>
        <w:t xml:space="preserve">” </w:t>
      </w:r>
      <w:r>
        <w:rPr>
          <w:rFonts w:ascii="Times New Roman;sans-serif" w:hAnsi="Times New Roman;sans-serif"/>
          <w:b w:val="false"/>
          <w:color w:val="000000"/>
          <w:sz w:val="24"/>
        </w:rPr>
        <w:t>means Integra LifeSciences Holdings Corporation, a Delaware corporation.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Parent Group</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7.03(c)</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13.03(e)</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Participant Register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13.03(f)</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PATRIOT Act</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13.15</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PBGC</w:t>
      </w:r>
      <w:r>
        <w:rPr>
          <w:color w:val="000000"/>
        </w:rPr>
        <w:t xml:space="preserve">” </w:t>
      </w:r>
      <w:r>
        <w:rPr>
          <w:rFonts w:ascii="Times New Roman;sans-serif" w:hAnsi="Times New Roman;sans-serif"/>
          <w:b w:val="false"/>
          <w:color w:val="000000"/>
          <w:sz w:val="24"/>
        </w:rPr>
        <w:t>means the Pension Benefit Guaranty Corporation, or any successor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Pension Plan</w:t>
      </w:r>
      <w:r>
        <w:rPr>
          <w:color w:val="000000"/>
        </w:rPr>
        <w:t xml:space="preserve">” </w:t>
      </w:r>
      <w:r>
        <w:rPr>
          <w:rFonts w:ascii="Times New Roman;sans-serif" w:hAnsi="Times New Roman;sans-serif"/>
          <w:b w:val="false"/>
          <w:color w:val="000000"/>
          <w:sz w:val="24"/>
        </w:rPr>
        <w:t>means a pension plan (other than a Multiemployer Plan) as defined in Section 3(2) of ERISA that is subject to Title IV of ERISA which any Originator, the Borrower or any other member of the Controlled Group has an obligation to contribute to or maintain or has made contributions within the preceding five (5) years.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Percentage</w:t>
      </w:r>
      <w:r>
        <w:rPr>
          <w:color w:val="000000"/>
        </w:rPr>
        <w:t xml:space="preserve">” </w:t>
      </w:r>
      <w:r>
        <w:rPr>
          <w:rFonts w:ascii="Times New Roman;sans-serif" w:hAnsi="Times New Roman;sans-serif"/>
          <w:b w:val="false"/>
          <w:color w:val="000000"/>
          <w:sz w:val="24"/>
        </w:rPr>
        <w:t>means, at any time of determination, with respect to any Committed Lender, a fraction (expressed as a percentage), (a) the numerator of which is (i) prior to the termination of all Commitments hereunder, its Commitment at such time or (ii) if all Commitments hereunder have been terminated, the aggregate outstanding Capital of all Loans being funded by the Lenders in such Committed Lender’s Group at such time and (b) the denominator of which is (i) prior to the termination of all Commitments hereunder, the aggregate Commitments of all Committed Lenders at such time or (ii) if all Commitments hereunder have been terminated, the aggregate outstanding Capital of all Loans at such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Performance Guarantor</w:t>
      </w:r>
      <w:r>
        <w:rPr>
          <w:color w:val="000000"/>
        </w:rPr>
        <w:t xml:space="preserve">” </w:t>
      </w:r>
      <w:r>
        <w:rPr>
          <w:rFonts w:ascii="Times New Roman;sans-serif" w:hAnsi="Times New Roman;sans-serif"/>
          <w:b w:val="false"/>
          <w:color w:val="000000"/>
          <w:sz w:val="24"/>
        </w:rPr>
        <w:t>means Integra LifeSciences Holdings Corporation, a Delaware corporation.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Performance Guaranty</w:t>
      </w:r>
      <w:r>
        <w:rPr>
          <w:color w:val="000000"/>
        </w:rPr>
        <w:t xml:space="preserve">” </w:t>
      </w:r>
      <w:r>
        <w:rPr>
          <w:rFonts w:ascii="Times New Roman;sans-serif" w:hAnsi="Times New Roman;sans-serif"/>
          <w:b w:val="false"/>
          <w:color w:val="000000"/>
          <w:sz w:val="24"/>
        </w:rPr>
        <w:t>means the Performance Guaranty, dated as of the Closing Date, by the Performance Guarantor in favor of the Administrative Agent for the benefit of the Secured Parties, as such agreement may be amended, restated, supplemented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Person</w:t>
      </w:r>
      <w:r>
        <w:rPr>
          <w:color w:val="000000"/>
        </w:rPr>
        <w:t xml:space="preserve">” </w:t>
      </w:r>
      <w:r>
        <w:rPr>
          <w:rFonts w:ascii="Times New Roman;sans-serif" w:hAnsi="Times New Roman;sans-serif"/>
          <w:b w:val="false"/>
          <w:color w:val="000000"/>
          <w:sz w:val="24"/>
        </w:rPr>
        <w:t>means an individual, partnership, corporation (including a business trust), joint stock company, trust, unincorporated association, joint venture, limited liability company or other entity, or a government or any political subdivision or agency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PNC</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Pool Receivable</w:t>
      </w:r>
      <w:r>
        <w:rPr>
          <w:color w:val="000000"/>
        </w:rPr>
        <w:t xml:space="preserve">” </w:t>
      </w:r>
      <w:r>
        <w:rPr>
          <w:rFonts w:ascii="Times New Roman;sans-serif" w:hAnsi="Times New Roman;sans-serif"/>
          <w:b w:val="false"/>
          <w:color w:val="000000"/>
          <w:sz w:val="24"/>
        </w:rPr>
        <w:t>means a Receivable in the Receivables Pool.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Portion of Capital</w:t>
      </w:r>
      <w:r>
        <w:rPr>
          <w:color w:val="000000"/>
        </w:rPr>
        <w:t xml:space="preserve">” </w:t>
      </w:r>
      <w:r>
        <w:rPr>
          <w:rFonts w:ascii="Times New Roman;sans-serif" w:hAnsi="Times New Roman;sans-serif"/>
          <w:b w:val="false"/>
          <w:color w:val="000000"/>
          <w:sz w:val="24"/>
        </w:rPr>
        <w:t>means, with respect to any Lender and its related Capital, the portion of such Capital being funded or maintained by such Lender by reference to a particular interest rate basis.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Program Support Agreement</w:t>
      </w:r>
      <w:r>
        <w:rPr>
          <w:color w:val="000000"/>
        </w:rPr>
        <w:t xml:space="preserve">” </w:t>
      </w:r>
      <w:r>
        <w:rPr>
          <w:rFonts w:ascii="Times New Roman;sans-serif" w:hAnsi="Times New Roman;sans-serif"/>
          <w:b w:val="false"/>
          <w:color w:val="000000"/>
          <w:sz w:val="24"/>
        </w:rPr>
        <w:t xml:space="preserve">means and includes any Liquidity Agreement and any other agreement entered into by any Program Support Provider providing for: (a) the issuance of one or more letters of credit for the account of any Conduit Lender, (b) the issuance of one or more surety bonds for which any Conduit Lender is obligated to reimburse the applicable </w:t>
      </w:r>
      <w:r>
        <w:br w:type="page"/>
      </w:r>
    </w:p>
    <w:p>
      <w:pPr>
        <w:pStyle w:val="TextBody"/>
        <w:spacing w:before="0" w:after="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2100"/>
                <wp:effectExtent l="0" t="0" r="0" b="0"/>
                <wp:wrapNone/>
                <wp:docPr id="85" name="Frame8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Program Support Provider for any drawings thereunder, (c) the sale by any Conduit Lender to any Program Support Provider of any Loan (or portions thereof or participation interest therein) maintained by such Conduit Lender and/or (d) the making of loans and/or other extensions of credit to any Conduit Lender in connection with such Conduit Lender’s receivables-securitization program contemplated in this Agreement, together with any letter of credit, surety bond or other instrument issued thereunder.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Program Support Provider</w:t>
      </w:r>
      <w:r>
        <w:rPr>
          <w:color w:val="000000"/>
        </w:rPr>
        <w:t xml:space="preserve">” </w:t>
      </w:r>
      <w:r>
        <w:rPr>
          <w:rFonts w:ascii="Times New Roman;sans-serif" w:hAnsi="Times New Roman;sans-serif"/>
          <w:b w:val="false"/>
          <w:color w:val="000000"/>
          <w:sz w:val="24"/>
        </w:rPr>
        <w:t>means and includes, with respect to any Conduit Lender, any Liquidity Provider and any other Person (other than any customer of such Conduit Lender) now or hereafter extending credit or having a commitment to extend credit to or for the account of, or to make purchases from, such Conduit Lender pursuant to any Program Support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 and Sale Agreement</w:t>
      </w:r>
      <w:r>
        <w:rPr>
          <w:color w:val="000000"/>
        </w:rPr>
        <w:t xml:space="preserve">” </w:t>
      </w:r>
      <w:r>
        <w:rPr>
          <w:rFonts w:ascii="Times New Roman;sans-serif" w:hAnsi="Times New Roman;sans-serif"/>
          <w:b w:val="false"/>
          <w:color w:val="000000"/>
          <w:sz w:val="24"/>
        </w:rPr>
        <w:t>means the Purchase and Sale Agreement, dated as of the Closing Date, among the Servicer, the Originators and the Borrower, as such agreement may be amended, supplemented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Purchase and Sale Termination Event</w:t>
      </w:r>
      <w:r>
        <w:rPr>
          <w:color w:val="000000"/>
        </w:rPr>
        <w:t xml:space="preserve">” </w:t>
      </w:r>
      <w:r>
        <w:rPr>
          <w:rFonts w:ascii="Times New Roman;sans-serif" w:hAnsi="Times New Roman;sans-serif"/>
          <w:b w:val="false"/>
          <w:color w:val="000000"/>
          <w:sz w:val="24"/>
        </w:rPr>
        <w:t>has the meaning set forth in the Purchase and Sale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Rating Agency</w:t>
      </w:r>
      <w:r>
        <w:rPr>
          <w:color w:val="000000"/>
        </w:rPr>
        <w:t xml:space="preserve">” </w:t>
      </w:r>
      <w:r>
        <w:rPr>
          <w:rFonts w:ascii="Times New Roman;sans-serif" w:hAnsi="Times New Roman;sans-serif"/>
          <w:b w:val="false"/>
          <w:color w:val="000000"/>
          <w:sz w:val="24"/>
        </w:rPr>
        <w:t>mean each of S&amp;P, Fitch and Moody’s (and/or each other rating agency then rating the Notes of any Conduit Lender).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Receivable</w:t>
      </w:r>
      <w:r>
        <w:rPr>
          <w:color w:val="000000"/>
        </w:rPr>
        <w:t xml:space="preserve">” </w:t>
      </w:r>
      <w:r>
        <w:rPr>
          <w:rFonts w:ascii="Times New Roman;sans-serif" w:hAnsi="Times New Roman;sans-serif"/>
          <w:b w:val="false"/>
          <w:color w:val="000000"/>
          <w:sz w:val="24"/>
        </w:rPr>
        <w:t>means any right to payment of a monetary obligation, whether or not earned by performance, owed to any Originator or the Borrower (as assignee of an Originator), whether constituting an account, chattel paper, payment intangible, instrument or general intangible, in each instance arising in connection with the sale of goods that have been or are to be sold or for services rendered or to be rendered, and includes, without limitation, the obligation to pay any finance charges, fees and other charges with respect thereto. Any such right to payment arising from any one transaction, including, without limitation, any such right to payment represented by an individual invoice or agreement, shall constitute a Receivable separate from a Receivable consisting of any such right to payment arising from any other transaction. Notwithstanding the foregoing, “Receivable” shall not include any Excluded Receivables.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Receivables Pool</w:t>
      </w:r>
      <w:r>
        <w:rPr>
          <w:color w:val="000000"/>
        </w:rPr>
        <w:t xml:space="preserve">” </w:t>
      </w:r>
      <w:r>
        <w:rPr>
          <w:rFonts w:ascii="Times New Roman;sans-serif" w:hAnsi="Times New Roman;sans-serif"/>
          <w:b w:val="false"/>
          <w:color w:val="000000"/>
          <w:sz w:val="24"/>
        </w:rPr>
        <w:t>means, at any time of determination, all of the then outstanding Receivables transferred (or purported to be transferred) to the Borrower pursuant to the Purchase and Sale Agreement prior to the Termination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Register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13.03(c)</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Committed Lender</w:t>
      </w:r>
      <w:r>
        <w:rPr>
          <w:color w:val="000000"/>
        </w:rPr>
        <w:t xml:space="preserve">” </w:t>
      </w:r>
      <w:r>
        <w:rPr>
          <w:rFonts w:ascii="Times New Roman;sans-serif" w:hAnsi="Times New Roman;sans-serif"/>
          <w:b w:val="false"/>
          <w:color w:val="000000"/>
          <w:sz w:val="24"/>
        </w:rPr>
        <w:t>means with respect to any Conduit Lender, each Committed Lender listed as such for each Conduit Lender as set forth on the signature pages of this Agreement or in any Assumption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Conduit Lender</w:t>
      </w:r>
      <w:r>
        <w:rPr>
          <w:color w:val="000000"/>
        </w:rPr>
        <w:t xml:space="preserve">” </w:t>
      </w:r>
      <w:r>
        <w:rPr>
          <w:rFonts w:ascii="Times New Roman;sans-serif" w:hAnsi="Times New Roman;sans-serif"/>
          <w:b w:val="false"/>
          <w:color w:val="000000"/>
          <w:sz w:val="24"/>
        </w:rPr>
        <w:t>means, with respect to any Committed Lender, each Conduit Lender which is, or pursuant to any Assignment and Acceptance Agreement or Assumption Agreement or otherwise pursuant to this Agreement becomes, included as a Conduit Lender in such Committed Lender’s Group, as designated on its signature page hereto or in such Assignment and Acceptance Agreement, Assumption Agreement or other agreement executed by such Committed Lender, as the case may be.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Rights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1.1</w:t>
      </w:r>
      <w:r>
        <w:rPr>
          <w:color w:val="000000"/>
        </w:rPr>
        <w:t xml:space="preserve"> </w:t>
      </w:r>
      <w:r>
        <w:rPr>
          <w:rFonts w:ascii="Times New Roman;sans-serif" w:hAnsi="Times New Roman;sans-serif"/>
          <w:b w:val="false"/>
          <w:color w:val="000000"/>
          <w:sz w:val="24"/>
        </w:rPr>
        <w:t>of the Purchase and Sale Agreement.</w:t>
      </w:r>
      <w:r>
        <w:br w:type="page"/>
      </w:r>
    </w:p>
    <w:p>
      <w:pPr>
        <w:pStyle w:val="TextBody"/>
        <w:spacing w:before="0" w:after="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2100"/>
                <wp:effectExtent l="0" t="0" r="0" b="0"/>
                <wp:wrapNone/>
                <wp:docPr id="86" name="Frame8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Related Security</w:t>
      </w:r>
      <w:r>
        <w:rPr>
          <w:color w:val="000000"/>
        </w:rPr>
        <w:t xml:space="preserve">” </w:t>
      </w:r>
      <w:r>
        <w:rPr>
          <w:rFonts w:ascii="Times New Roman;sans-serif" w:hAnsi="Times New Roman;sans-serif"/>
          <w:b w:val="false"/>
          <w:color w:val="000000"/>
          <w:sz w:val="24"/>
        </w:rPr>
        <w:t>means, with respect to any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(1)all of the Borrower’s and each Originator’s interest in any goods (including returned goods), and documentation of title evidencing the shipment or storage of any goods (including returned goods), the sale of which gave rise to such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(2)all instruments and chattel paper that may evidence such Receivable;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(4)all of the Borrower’s and each Originator’s rights, interests and claims under the related Contracts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(5)all of the Borrower’s rights, interests and claims under the Purchase and Sale Agreement and the other Transaction Documents.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Release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Relevant Governmental Body</w:t>
      </w:r>
      <w:r>
        <w:rPr>
          <w:color w:val="000000"/>
        </w:rPr>
        <w:t xml:space="preserve">” </w:t>
      </w:r>
      <w:r>
        <w:rPr>
          <w:rFonts w:ascii="Times New Roman;sans-serif" w:hAnsi="Times New Roman;sans-serif"/>
          <w:b w:val="false"/>
          <w:color w:val="000000"/>
          <w:sz w:val="24"/>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Relief Period</w:t>
      </w:r>
      <w:r>
        <w:rPr>
          <w:color w:val="000000"/>
        </w:rPr>
        <w:t xml:space="preserve">” </w:t>
      </w:r>
      <w:r>
        <w:rPr>
          <w:rFonts w:ascii="Times New Roman;sans-serif" w:hAnsi="Times New Roman;sans-serif"/>
          <w:b w:val="false"/>
          <w:color w:val="000000"/>
          <w:sz w:val="24"/>
        </w:rPr>
        <w:t>means the Fiscal Months beginning and including March 2023 through and including December 2023.</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Reportable Compliance Event</w:t>
      </w:r>
      <w:r>
        <w:rPr>
          <w:color w:val="000000"/>
        </w:rPr>
        <w:t xml:space="preserve">” </w:t>
      </w:r>
      <w:r>
        <w:rPr>
          <w:rFonts w:ascii="Times New Roman;sans-serif" w:hAnsi="Times New Roman;sans-serif"/>
          <w:b w:val="false"/>
          <w:color w:val="000000"/>
          <w:sz w:val="24"/>
        </w:rPr>
        <w:t>means that any Covered Entity becomes a Sanctioned Person, or is charged by indictment, criminal complaint or similar charging instrument, arraigned, or custodially detained in connection with any Anti-Terrorism Law or any predicate crime to any Anti-Terrorism Law, or has knowledge of facts or circumstances to the effect that it is reasonably likely that any aspect of its operations is in actual or probable violation of any Anti-Terrorism Law.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Reportable Event</w:t>
      </w:r>
      <w:r>
        <w:rPr>
          <w:color w:val="000000"/>
        </w:rPr>
        <w:t xml:space="preserve">” </w:t>
      </w:r>
      <w:r>
        <w:rPr>
          <w:rFonts w:ascii="Times New Roman;sans-serif" w:hAnsi="Times New Roman;sans-serif"/>
          <w:b w:val="false"/>
          <w:color w:val="000000"/>
          <w:sz w:val="24"/>
        </w:rPr>
        <w:t>means any reportable event as defined in Section 4043(c) of ERISA for which the notice provision has not been waived under the applicable regulations issued thereunder with respect to a Pension Plan (other than a Pension Plan maintained by an ERISA Affiliate which is considered an ERISA Affiliate only pursuant to subsection (m) or (o) of Section 414 of the Code).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13.06(c)</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Required Capital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(a) the Loss Reserve Percentage at such time times, </w:t>
      </w:r>
      <w:r>
        <w:rPr>
          <w:rFonts w:ascii="Times New Roman;sans-serif" w:hAnsi="Times New Roman;sans-serif"/>
          <w:b w:val="false"/>
          <w:color w:val="000000"/>
          <w:sz w:val="24"/>
          <w:u w:val="single"/>
        </w:rPr>
        <w:t>multiplied</w:t>
      </w:r>
      <w:r>
        <w:rPr>
          <w:color w:val="000000"/>
        </w:rPr>
        <w:t xml:space="preserve"> </w:t>
      </w:r>
      <w:r>
        <w:rPr>
          <w:rFonts w:ascii="Times New Roman;sans-serif" w:hAnsi="Times New Roman;sans-serif"/>
          <w:b w:val="false"/>
          <w:color w:val="000000"/>
          <w:sz w:val="24"/>
          <w:u w:val="single"/>
        </w:rPr>
        <w:t>by</w:t>
      </w:r>
      <w:r>
        <w:rPr>
          <w:color w:val="000000"/>
        </w:rPr>
        <w:t xml:space="preserve"> </w:t>
      </w:r>
      <w:r>
        <w:rPr>
          <w:rFonts w:ascii="Times New Roman;sans-serif" w:hAnsi="Times New Roman;sans-serif"/>
          <w:b w:val="false"/>
          <w:color w:val="000000"/>
          <w:sz w:val="24"/>
        </w:rPr>
        <w:t>(b) the aggregate Outstanding Balance of all Eligible Receivables then in the Receivables Pool.</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Restricted Payments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7.01(v)</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2100"/>
                <wp:effectExtent l="0" t="0" r="0" b="0"/>
                <wp:wrapNone/>
                <wp:docPr id="87" name="Frame8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S&amp;P</w:t>
      </w:r>
      <w:r>
        <w:rPr>
          <w:color w:val="000000"/>
        </w:rPr>
        <w:t xml:space="preserve">” </w:t>
      </w:r>
      <w:r>
        <w:rPr>
          <w:rFonts w:ascii="Times New Roman;sans-serif" w:hAnsi="Times New Roman;sans-serif"/>
          <w:b w:val="false"/>
          <w:color w:val="000000"/>
          <w:sz w:val="24"/>
        </w:rPr>
        <w:t>means Standard &amp; Poor’s Rating Services, a Standard &amp; Poor’s Financial Services LLC business, and any successor thereto that is a nationally recognized statistical rating organization.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Country</w:t>
      </w:r>
      <w:r>
        <w:rPr>
          <w:color w:val="000000"/>
        </w:rPr>
        <w:t xml:space="preserve">” </w:t>
      </w:r>
      <w:r>
        <w:rPr>
          <w:rFonts w:ascii="Times New Roman;sans-serif" w:hAnsi="Times New Roman;sans-serif"/>
          <w:b w:val="false"/>
          <w:color w:val="000000"/>
          <w:sz w:val="24"/>
        </w:rPr>
        <w:t xml:space="preserve">means a country or territory that is the subject or target of a sanctions program maintained under any Anti-Terrorism Law, including any such country identified on the list maintained by OFAC and available at: </w:t>
      </w:r>
      <w:r>
        <w:rPr>
          <w:rFonts w:ascii="Times New Roman;sans-serif" w:hAnsi="Times New Roman;sans-serif"/>
          <w:b w:val="false"/>
          <w:color w:val="008080"/>
          <w:sz w:val="24"/>
        </w:rPr>
        <w:t>http://www.treasury.gov/resource-center/sanctions/Programs/Pages/Programs.aspx</w:t>
      </w:r>
      <w:r>
        <w:rPr>
          <w:rFonts w:ascii="Times New Roman;sans-serif" w:hAnsi="Times New Roman;sans-serif"/>
          <w:b w:val="false"/>
          <w:color w:val="000000"/>
          <w:sz w:val="24"/>
        </w:rPr>
        <w:t>, or as otherwise published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Sanctioned Person</w:t>
      </w:r>
      <w:r>
        <w:rPr>
          <w:color w:val="000000"/>
        </w:rPr>
        <w:t xml:space="preserve">” </w:t>
      </w:r>
      <w:r>
        <w:rPr>
          <w:rFonts w:ascii="Times New Roman;sans-serif" w:hAnsi="Times New Roman;sans-serif"/>
          <w:b w:val="false"/>
          <w:color w:val="000000"/>
          <w:sz w:val="24"/>
        </w:rPr>
        <w:t xml:space="preserve">means (a) a person named on the list of “Specially Designated Nationals” or “Blocked Persons” maintained by OFAC available at: </w:t>
      </w:r>
      <w:r>
        <w:rPr>
          <w:rFonts w:ascii="Times New Roman;sans-serif" w:hAnsi="Times New Roman;sans-serif"/>
          <w:b w:val="false"/>
          <w:color w:val="008080"/>
          <w:sz w:val="24"/>
        </w:rPr>
        <w:t>https://www.treasury.gov/resource-center/sanctions/SDN-List/Pages/default.aspx</w:t>
      </w:r>
      <w:r>
        <w:rPr>
          <w:rFonts w:ascii="Times New Roman;sans-serif" w:hAnsi="Times New Roman;sans-serif"/>
          <w:b w:val="false"/>
          <w:color w:val="000000"/>
          <w:sz w:val="24"/>
        </w:rPr>
        <w:t>, or as otherwise published from time to time, (b) (i) an agency of the government of a Sanctioned Country, (ii) an organization controlled by a Sanctioned Country or (iii) a person resident in a Sanctioned Country, to the extent subject to a sanctions program administered by OFAC, or (c) any individual person, group, regime, entity or thing listed or otherwise recognized as a specially designated, prohibited, sanctioned or debarred person, group, regime, entity or thing, or subject to any limitations or prohibitions (including but not limited to the blocking of property or rejection of transactions), under any Anti-Terrorism Law.</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Scheduled Termination Date</w:t>
      </w:r>
      <w:r>
        <w:rPr>
          <w:color w:val="000000"/>
        </w:rPr>
        <w:t xml:space="preserve">” </w:t>
      </w:r>
      <w:r>
        <w:rPr>
          <w:rFonts w:ascii="Times New Roman;sans-serif" w:hAnsi="Times New Roman;sans-serif"/>
          <w:b w:val="false"/>
          <w:color w:val="000000"/>
          <w:sz w:val="24"/>
        </w:rPr>
        <w:t>means May 28, 2024.</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w:t>
      </w:r>
      <w:r>
        <w:rPr>
          <w:color w:val="000000"/>
        </w:rPr>
        <w:t xml:space="preserve">” </w:t>
      </w:r>
      <w:r>
        <w:rPr>
          <w:rFonts w:ascii="Times New Roman;sans-serif" w:hAnsi="Times New Roman;sans-serif"/>
          <w:b w:val="false"/>
          <w:color w:val="000000"/>
          <w:sz w:val="24"/>
        </w:rPr>
        <w:t>means the U.S. Securities and Exchange Commission or any governmental agencies substituted therefor.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Secured Parties</w:t>
      </w:r>
      <w:r>
        <w:rPr>
          <w:color w:val="000000"/>
        </w:rPr>
        <w:t xml:space="preserve">” </w:t>
      </w:r>
      <w:r>
        <w:rPr>
          <w:rFonts w:ascii="Times New Roman;sans-serif" w:hAnsi="Times New Roman;sans-serif"/>
          <w:b w:val="false"/>
          <w:color w:val="000000"/>
          <w:sz w:val="24"/>
        </w:rPr>
        <w:t>means each Credit Party, each Borrower Indemnified Party and each Affected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Securities Act</w:t>
      </w:r>
      <w:r>
        <w:rPr>
          <w:color w:val="000000"/>
        </w:rPr>
        <w:t xml:space="preserve">” </w:t>
      </w:r>
      <w:r>
        <w:rPr>
          <w:rFonts w:ascii="Times New Roman;sans-serif" w:hAnsi="Times New Roman;sans-serif"/>
          <w:b w:val="false"/>
          <w:color w:val="000000"/>
          <w:sz w:val="24"/>
        </w:rPr>
        <w:t>means the Securities Act of 1933, as amended or otherwise modified from time to time.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w:t>
      </w:r>
      <w:r>
        <w:rPr>
          <w:color w:val="000000"/>
        </w:rPr>
        <w:t xml:space="preserve">” </w:t>
      </w:r>
      <w:r>
        <w:rPr>
          <w:rFonts w:ascii="Times New Roman;sans-serif" w:hAnsi="Times New Roman;sans-serif"/>
          <w:b w:val="false"/>
          <w:color w:val="000000"/>
          <w:sz w:val="24"/>
        </w:rPr>
        <w:t xml:space="preserve">has the meaning set forth in the </w:t>
      </w:r>
      <w:r>
        <w:rPr>
          <w:rFonts w:ascii="Times New Roman;sans-serif" w:hAnsi="Times New Roman;sans-serif"/>
          <w:b w:val="false"/>
          <w:color w:val="000000"/>
          <w:sz w:val="24"/>
          <w:u w:val="single"/>
        </w:rPr>
        <w:t>preamble</w:t>
      </w:r>
      <w:r>
        <w:rPr>
          <w:color w:val="000000"/>
        </w:rPr>
        <w:t xml:space="preserve"> </w:t>
      </w:r>
      <w:r>
        <w:rPr>
          <w:rFonts w:ascii="Times New Roman;sans-serif" w:hAnsi="Times New Roman;sans-serif"/>
          <w:b w:val="false"/>
          <w:color w:val="000000"/>
          <w:sz w:val="24"/>
        </w:rPr>
        <w:t>to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 Indemnified Amounts</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12.02(a)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Servicer Indemnified Party</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12.02(a)</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Servicing Fee</w:t>
      </w:r>
      <w:r>
        <w:rPr>
          <w:color w:val="000000"/>
        </w:rPr>
        <w:t xml:space="preserve">” </w:t>
      </w:r>
      <w:r>
        <w:rPr>
          <w:rFonts w:ascii="Times New Roman;sans-serif" w:hAnsi="Times New Roman;sans-serif"/>
          <w:b w:val="false"/>
          <w:color w:val="000000"/>
          <w:sz w:val="24"/>
        </w:rPr>
        <w:t xml:space="preserve">means the fee referred to in </w:t>
      </w:r>
      <w:r>
        <w:rPr>
          <w:rFonts w:ascii="Times New Roman;sans-serif" w:hAnsi="Times New Roman;sans-serif"/>
          <w:b w:val="false"/>
          <w:color w:val="000000"/>
          <w:sz w:val="24"/>
          <w:u w:val="single"/>
        </w:rPr>
        <w:t>Section 8.06(a)</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Servicing Fee Rate</w:t>
      </w:r>
      <w:r>
        <w:rPr>
          <w:color w:val="000000"/>
        </w:rPr>
        <w:t xml:space="preserve">” </w:t>
      </w:r>
      <w:r>
        <w:rPr>
          <w:rFonts w:ascii="Times New Roman;sans-serif" w:hAnsi="Times New Roman;sans-serif"/>
          <w:b w:val="false"/>
          <w:color w:val="000000"/>
          <w:sz w:val="24"/>
        </w:rPr>
        <w:t xml:space="preserve">means the rate referred to in </w:t>
      </w:r>
      <w:r>
        <w:rPr>
          <w:rFonts w:ascii="Times New Roman;sans-serif" w:hAnsi="Times New Roman;sans-serif"/>
          <w:b w:val="false"/>
          <w:color w:val="000000"/>
          <w:sz w:val="24"/>
          <w:u w:val="single"/>
        </w:rPr>
        <w:t>Section 8.06(a)</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Settlement Date</w:t>
      </w:r>
      <w:r>
        <w:rPr>
          <w:color w:val="000000"/>
        </w:rPr>
        <w:t xml:space="preserve">” </w:t>
      </w:r>
      <w:r>
        <w:rPr>
          <w:rFonts w:ascii="Times New Roman;sans-serif" w:hAnsi="Times New Roman;sans-serif"/>
          <w:b w:val="false"/>
          <w:color w:val="000000"/>
          <w:sz w:val="24"/>
        </w:rPr>
        <w:t>means with respect to any Portion of Capital for any Interest Period or any Interest or Fees, (i) so long as no Event of Default has occurred and is continuing and the Termination Date has not occurred, the Monthly Settlement Date and (ii) on and after the Termination Date or if an Event of Default has occurred and is continuing, each day selected from time to time by the Administrative Agent (with the consent or at the direction of the Majority Group Agents) (it being understood that the Administrative Agent (with the consent or at the direction of the Majority Group Agents) may select such Settlement Date to occur as frequently as daily), or, in the absence of such selection, the Monthly Settlement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means, for any day, a rate equal to the secured overnight financing rate as administered by the Federal Reserve Bank of New York (or a successor administrator of the secured overnight financing rate).</w:t>
      </w:r>
      <w:r>
        <w:br w:type="page"/>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2100"/>
                <wp:effectExtent l="0" t="0" r="0" b="0"/>
                <wp:wrapNone/>
                <wp:docPr id="88" name="Frame8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Adjustment</w:t>
      </w:r>
      <w:r>
        <w:rPr>
          <w:color w:val="000000"/>
        </w:rPr>
        <w:t xml:space="preserve">” </w:t>
      </w:r>
      <w:r>
        <w:rPr>
          <w:rFonts w:ascii="Times New Roman;sans-serif" w:hAnsi="Times New Roman;sans-serif"/>
          <w:b w:val="false"/>
          <w:color w:val="000000"/>
          <w:sz w:val="24"/>
        </w:rPr>
        <w:t xml:space="preserve">means ten (10) basis points (0.10%) </w:t>
      </w:r>
      <w:r>
        <w:rPr>
          <w:rFonts w:ascii="Times New Roman;sans-serif" w:hAnsi="Times New Roman;sans-serif"/>
          <w:b w:val="false"/>
          <w:i/>
          <w:color w:val="000000"/>
          <w:sz w:val="24"/>
        </w:rPr>
        <w:t>per annum</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Determination Date</w:t>
      </w:r>
      <w:r>
        <w:rPr>
          <w:color w:val="000000"/>
        </w:rPr>
        <w:t xml:space="preserve">” </w:t>
      </w:r>
      <w:r>
        <w:rPr>
          <w:rFonts w:ascii="Times New Roman;sans-serif" w:hAnsi="Times New Roman;sans-serif"/>
          <w:b w:val="false"/>
          <w:color w:val="000000"/>
          <w:sz w:val="24"/>
        </w:rPr>
        <w:t>shall have the meaning set forth in the definition of “Daily Simple SOFR”.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SOFR Rate Day</w:t>
      </w:r>
      <w:r>
        <w:rPr>
          <w:color w:val="000000"/>
        </w:rPr>
        <w:t xml:space="preserve">” </w:t>
      </w:r>
      <w:r>
        <w:rPr>
          <w:rFonts w:ascii="Times New Roman;sans-serif" w:hAnsi="Times New Roman;sans-serif"/>
          <w:b w:val="false"/>
          <w:color w:val="000000"/>
          <w:sz w:val="24"/>
        </w:rPr>
        <w:t>shall have the meaning set forth in the definition of “Daily Simple SOFR”.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Solvent</w:t>
      </w:r>
      <w:r>
        <w:rPr>
          <w:color w:val="000000"/>
        </w:rPr>
        <w:t xml:space="preserve">” </w:t>
      </w:r>
      <w:r>
        <w:rPr>
          <w:rFonts w:ascii="Times New Roman;sans-serif" w:hAnsi="Times New Roman;sans-serif"/>
          <w:b w:val="false"/>
          <w:color w:val="000000"/>
          <w:sz w:val="24"/>
        </w:rPr>
        <w:t>means, with respect to any Person and as of any particular date, (i) the present fair market value (or present fair saleable value) of the assets of such Person is not less than the total amount required to pay the probable liabilities of such Person on its total existing debts and liabilities (including contingent liabilities) as they become absolute and matured, (ii) such Person is able to realize upon its assets and pay its debts and other liabilities, contingent obligations and commitments as they mature and become due in the normal course of business, (iii) such Person is not incurring debts or liabilities beyond its ability to pay such debts and liabilities as they mature and (iv) such Person is not engaged in any business or transaction, and is not about to engage in any business or transaction, for which its property would constitute unreasonably small capital after giving due consideration to the prevailing practice in the industry in which such Person is engaged.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Specifically Reserved Dilution Amount</w:t>
      </w:r>
      <w:r>
        <w:rPr>
          <w:color w:val="000000"/>
        </w:rPr>
        <w:t xml:space="preserve">” </w:t>
      </w:r>
      <w:r>
        <w:rPr>
          <w:rFonts w:ascii="Times New Roman;sans-serif" w:hAnsi="Times New Roman;sans-serif"/>
          <w:b w:val="false"/>
          <w:color w:val="000000"/>
          <w:sz w:val="24"/>
        </w:rPr>
        <w:t>means for any Fiscal Month, an amount computed on the last day of such Fiscal Month, equal to the greater of:</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product of (i) the U.S. Dollar Equivalent of the aggregate amount of dilution or similar adjustments arising out of volume rebates, terms discounts, indirect rebates, direct rebates (net of any direct rebate recovery), key promotional programs or similar arrangements which are customary for the Originators and specified in the related Contract or applicable marketing program related to the applicable Receivable and Obligor thereof that are expected by the Servicer to be made or otherwise incurred with respect to the then outstanding Pool Receivables as such expected dilution and similar adjustments are reflected on the books and records of the Originators and their Affiliates and reserved for by the Originator and their Affiliates (GL Account # 231230), as determined in consultation with the external accountants of the Originators and in accordance with the customary procedures established by the Originators and such accountants and (ii) one hundred percent (100.00%) (or such lesser percentage specified by the Administrative Agent upon not less than five (5) Business Days’ notice to the Borrower to reflect such percentage as the Administrative Agent reasonably believes best reflects the reserve coverage relative to Pool Receivables based on the observed historical information and/or the results of any audit or field exam of the Originators;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product of (i) the aggregate credit sales made by each Originator, as applicable, during the most recent Fiscal Month and (ii) three percent (3.00%) (or such other percentage specified by the Administrative Agent upon not less than five (5) Business Days’ notice to the Borrower to reflect such percentage as the Administrative Agent reasonably believes best reflects the dilution activity described in section (a) herein based on the observed historical information and/or the results of any audit or field exam of the Originators.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Specific Reporting Event</w:t>
      </w:r>
      <w:r>
        <w:rPr>
          <w:color w:val="000000"/>
        </w:rPr>
        <w:t xml:space="preserve">” </w:t>
      </w:r>
      <w:r>
        <w:rPr>
          <w:rFonts w:ascii="Times New Roman;sans-serif" w:hAnsi="Times New Roman;sans-serif"/>
          <w:b w:val="false"/>
          <w:color w:val="000000"/>
          <w:sz w:val="24"/>
        </w:rPr>
        <w:t xml:space="preserve">shall occur when the Minimum Liquidity Amount has not been maintained for a period of five (5) consecutive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such Specific Reporting Event shall cease to occur once the Minimum Liquidity Amount has been maintained for a period of thirty (30) consecutive calendar days.</w:t>
      </w:r>
      <w:r>
        <w:br w:type="page"/>
      </w: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2100"/>
                <wp:effectExtent l="0" t="0" r="0" b="0"/>
                <wp:wrapNone/>
                <wp:docPr id="89" name="Frame8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Spot Rate</w:t>
      </w:r>
      <w:r>
        <w:rPr>
          <w:color w:val="000000"/>
        </w:rPr>
        <w:t xml:space="preserve">” </w:t>
      </w:r>
      <w:r>
        <w:rPr>
          <w:rFonts w:ascii="Times New Roman;sans-serif" w:hAnsi="Times New Roman;sans-serif"/>
          <w:b w:val="false"/>
          <w:color w:val="000000"/>
          <w:sz w:val="24"/>
        </w:rPr>
        <w:t xml:space="preserve">means, on any day, (a) for the purpose of exchanging U.S. Dollars to Alternative Currency or Alternative Currency to U.S. Dollars in connection with applying funds to pay amounts owing hereunder or under the Transaction Documents in accordance with this Agreement, the actual rate used by the Administrative Agent’s principal foreign exchange trading office for the purchase by the Administrative Agent of the applicable currency with the other currency through its principal foreign exchange trading office, and (b) for the purpose of making any calculation hereunder that does not require the actual exchange of U.S. Dollars for Alternative Currency or Alternative Currency for U.S. Dollars to make a payment of amounts owing hereunder or under the Transaction Documents, (i) with respect to the determination of the U.S. Dollar Equivalent of any amount denominated in Alternative Currency, the exchange rate at which such Alternative Currency may be exchanged into U.S. Dollars as set forth at approximately 11:00 a.m. New York City time, on such day as published on the Bloomberg Key Cross-Currency Rates Page for such Alternative Currency or (ii) with respect to the determination of the Alternative Currency equivalent of any amount denominated in U.S. Dollars, the exchange rate at which U.S. Dollars may be exchanged into Alternative Currency as set forth at approximately 11:00 a.m. New York City time, on such day as published on the Bloomberg Key Cross-Currency Rates Page for U.S. Dollars. In the event that such rate does not appear on any Bloomberg Key Cross Currency Rates Page, the Spot Rate shall be determined by reference to such other publicly available service for displaying exchange rates as may be selected by the Administrative Agent and is reasonably satisfactory to the Servicer, or, in the absence of such an agreement, such Spot Rate shall instead be the arithmetic average of the spot rates of exchange of the Administrative Agent in the market where its foreign currency exchange operations in respect of such currency are then being conducted, at or about 11:00 a.m. New York time, on such date for the purchase of U.S. Dollars with the applicable Alternative Currency for delivery two (2) Business Days later;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at the time of any such determination, for any reason, no such spot rate is being quoted, the Administrative Agent may use any reasonable method it deems appropriate to determine such rate, and such determination shall be conclusive absent manifest error.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Structuring Agent</w:t>
      </w:r>
      <w:r>
        <w:rPr>
          <w:color w:val="000000"/>
        </w:rPr>
        <w:t xml:space="preserve">” </w:t>
      </w:r>
      <w:r>
        <w:rPr>
          <w:rFonts w:ascii="Times New Roman;sans-serif" w:hAnsi="Times New Roman;sans-serif"/>
          <w:b w:val="false"/>
          <w:color w:val="000000"/>
          <w:sz w:val="24"/>
        </w:rPr>
        <w:t>means PNC Capital Markets LLC, a Pennsylvania limited liability company.</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Subordinated Note</w:t>
      </w:r>
      <w:r>
        <w:rPr>
          <w:color w:val="000000"/>
        </w:rPr>
        <w:t xml:space="preserve">” </w:t>
      </w:r>
      <w:r>
        <w:rPr>
          <w:rFonts w:ascii="Times New Roman;sans-serif" w:hAnsi="Times New Roman;sans-serif"/>
          <w:b w:val="false"/>
          <w:color w:val="000000"/>
          <w:sz w:val="24"/>
        </w:rPr>
        <w:t>has the meaning set forth in the Purchase and Sale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Sub-Servicer</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8.01(d)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Subsidiary</w:t>
      </w:r>
      <w:r>
        <w:rPr>
          <w:color w:val="000000"/>
        </w:rPr>
        <w:t xml:space="preserve">” </w:t>
      </w:r>
      <w:r>
        <w:rPr>
          <w:rFonts w:ascii="Times New Roman;sans-serif" w:hAnsi="Times New Roman;sans-serif"/>
          <w:b w:val="false"/>
          <w:color w:val="000000"/>
          <w:sz w:val="24"/>
        </w:rPr>
        <w:t>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Taxes</w:t>
      </w:r>
      <w:r>
        <w:rPr>
          <w:color w:val="000000"/>
        </w:rPr>
        <w:t xml:space="preserve">” </w:t>
      </w:r>
      <w:r>
        <w:rPr>
          <w:rFonts w:ascii="Times New Roman;sans-serif" w:hAnsi="Times New Roman;sans-serif"/>
          <w:b w:val="false"/>
          <w:color w:val="000000"/>
          <w:sz w:val="24"/>
        </w:rPr>
        <w:t>means any and all present or future taxes, levies, imposts, duties, deductions, charges or withholdings (including backup withholding), assessments, fees or other charges imposed by any Governmental Authority and all interest, penalties, additions to tax and any similar liabilities with respect thereto.</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Temporarily Ineligible Obligor</w:t>
      </w:r>
      <w:r>
        <w:rPr>
          <w:color w:val="000000"/>
        </w:rPr>
        <w:t xml:space="preserve">” </w:t>
      </w:r>
      <w:r>
        <w:rPr>
          <w:rFonts w:ascii="Times New Roman;sans-serif" w:hAnsi="Times New Roman;sans-serif"/>
          <w:b w:val="false"/>
          <w:color w:val="000000"/>
          <w:sz w:val="24"/>
        </w:rPr>
        <w:t>means Promedon Do Brazil or any other Obligor requested by the Borrower and consented to in writing by the Majority Group Agents in their sole discretion until such time that the Majority Group Agents and the Borrower mutually agree that such Obligor is no longer deemed ineligible (including, for the avoidance of doubt, Promedon Do Brazil).</w:t>
      </w:r>
      <w:r>
        <w:br w:type="page"/>
      </w:r>
    </w:p>
    <w:p>
      <w:pPr>
        <w:pStyle w:val="TextBody"/>
        <w:spacing w:before="0" w:after="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2100"/>
                <wp:effectExtent l="0" t="0" r="0" b="0"/>
                <wp:wrapNone/>
                <wp:docPr id="90" name="Frame9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Temporarily Ineligible Receivable</w:t>
      </w:r>
      <w:r>
        <w:rPr>
          <w:color w:val="000000"/>
        </w:rPr>
        <w:t xml:space="preserve">” </w:t>
      </w:r>
      <w:r>
        <w:rPr>
          <w:rFonts w:ascii="Times New Roman;sans-serif" w:hAnsi="Times New Roman;sans-serif"/>
          <w:b w:val="false"/>
          <w:color w:val="000000"/>
          <w:sz w:val="24"/>
        </w:rPr>
        <w:t>means any Receivable the Obligor of which is a Temporarily Ineligible Obligor.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w:t>
      </w:r>
      <w:r>
        <w:rPr>
          <w:color w:val="000000"/>
        </w:rPr>
        <w:t xml:space="preserve">” </w:t>
      </w:r>
      <w:r>
        <w:rPr>
          <w:rFonts w:ascii="Times New Roman;sans-serif" w:hAnsi="Times New Roman;sans-serif"/>
          <w:b w:val="false"/>
          <w:color w:val="000000"/>
          <w:sz w:val="24"/>
        </w:rPr>
        <w:t xml:space="preserve">shall mean, with respect to any Loan (or portion thereof) to which the Term SOFR Option applies, for any Interest Period, the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sans-serif" w:hAnsi="Times New Roman;sans-serif"/>
          <w:b w:val="false"/>
          <w:color w:val="000000"/>
          <w:sz w:val="24"/>
          <w:u w:val="single"/>
        </w:rPr>
        <w:t>Term SOFR Determination Date</w:t>
      </w:r>
      <w:r>
        <w:rPr>
          <w:color w:val="000000"/>
        </w:rPr>
        <w:t>”</w:t>
      </w:r>
      <w:r>
        <w:rPr>
          <w:rFonts w:ascii="Times New Roman;sans-serif" w:hAnsi="Times New Roman;sans-serif"/>
          <w:b w:val="false"/>
          <w:color w:val="000000"/>
          <w:sz w:val="24"/>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shall be the Term SOFR Reference Rate for such tenor on the first Business Day preceding such Term SOFR Determination Date for which such Term SOFR Reference Rate for such tenor was published by the Term SOFR Administrator in accordance herewith, so long as such first preceding Business Day is not more than three (3) Business Days prior to such Term SOFR Determination Date. If Term SOFR, determined as provided above, would be less than the Floor, then Term SOFR shall be deemed to be the Floor. Term SOFR shall be adjusted automatically without notice to the Borrower on and as of the first day of each Interest Period.</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the Term SOFR Reference Rate selected by the Administrative Agent in its reasonable discretion).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Determination Date</w:t>
      </w:r>
      <w:r>
        <w:rPr>
          <w:color w:val="000000"/>
        </w:rPr>
        <w:t xml:space="preserve">” </w:t>
      </w:r>
      <w:r>
        <w:rPr>
          <w:rFonts w:ascii="Times New Roman;sans-serif" w:hAnsi="Times New Roman;sans-serif"/>
          <w:b w:val="false"/>
          <w:color w:val="000000"/>
          <w:sz w:val="24"/>
        </w:rPr>
        <w:t>shall have the meaning set forth in the definition of “Term SOFR”.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Option</w:t>
      </w:r>
      <w:r>
        <w:rPr>
          <w:color w:val="000000"/>
        </w:rPr>
        <w:t xml:space="preserve">” </w:t>
      </w:r>
      <w:r>
        <w:rPr>
          <w:rFonts w:ascii="Times New Roman;sans-serif" w:hAnsi="Times New Roman;sans-serif"/>
          <w:b w:val="false"/>
          <w:color w:val="000000"/>
          <w:sz w:val="24"/>
        </w:rPr>
        <w:t xml:space="preserve">means the option of the Borrower to have Loans bearing interest at the rate and under the terms specified in </w:t>
      </w:r>
      <w:r>
        <w:rPr>
          <w:rFonts w:ascii="Times New Roman;sans-serif" w:hAnsi="Times New Roman;sans-serif"/>
          <w:b w:val="false"/>
          <w:color w:val="000000"/>
          <w:sz w:val="24"/>
          <w:u w:val="single"/>
        </w:rPr>
        <w:t>Section 2.05(a)(ii)</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Rate</w:t>
      </w:r>
      <w:r>
        <w:rPr>
          <w:color w:val="000000"/>
        </w:rPr>
        <w:t xml:space="preserve">” </w:t>
      </w:r>
      <w:r>
        <w:rPr>
          <w:rFonts w:ascii="Times New Roman;sans-serif" w:hAnsi="Times New Roman;sans-serif"/>
          <w:b w:val="false"/>
          <w:color w:val="000000"/>
          <w:sz w:val="24"/>
        </w:rPr>
        <w:t xml:space="preserve">means with respect to Loans to which the Term SOFR Option applies, a fluctuating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as shall be in effect from time to time equal to (a) Term SOFR,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SOFR Adjustment.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Rate Loan</w:t>
      </w:r>
      <w:r>
        <w:rPr>
          <w:color w:val="000000"/>
        </w:rPr>
        <w:t xml:space="preserve">” </w:t>
      </w:r>
      <w:r>
        <w:rPr>
          <w:rFonts w:ascii="Times New Roman;sans-serif" w:hAnsi="Times New Roman;sans-serif"/>
          <w:b w:val="false"/>
          <w:color w:val="000000"/>
          <w:sz w:val="24"/>
        </w:rPr>
        <w:t>means a Loan that bears interest based on the Term SOFR Rate.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 SOFR Reference Rate</w:t>
      </w:r>
      <w:r>
        <w:rPr>
          <w:color w:val="000000"/>
        </w:rPr>
        <w:t xml:space="preserve">” </w:t>
      </w:r>
      <w:r>
        <w:rPr>
          <w:rFonts w:ascii="Times New Roman;sans-serif" w:hAnsi="Times New Roman;sans-serif"/>
          <w:b w:val="false"/>
          <w:color w:val="000000"/>
          <w:sz w:val="24"/>
        </w:rPr>
        <w:t>shall mean the forward-looking term rate based on SOFR.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Termination Date</w:t>
      </w:r>
      <w:r>
        <w:rPr>
          <w:color w:val="000000"/>
        </w:rPr>
        <w:t xml:space="preserve">” </w:t>
      </w:r>
      <w:r>
        <w:rPr>
          <w:rFonts w:ascii="Times New Roman;sans-serif" w:hAnsi="Times New Roman;sans-serif"/>
          <w:b w:val="false"/>
          <w:color w:val="000000"/>
          <w:sz w:val="24"/>
        </w:rPr>
        <w:t xml:space="preserve">means the earliest to occur of (a) the Scheduled Termination Date, (b) the date on which the “Termination Date” is declared or deemed to have occurred under </w:t>
      </w:r>
      <w:r>
        <w:rPr>
          <w:rFonts w:ascii="Times New Roman;sans-serif" w:hAnsi="Times New Roman;sans-serif"/>
          <w:b w:val="false"/>
          <w:color w:val="000000"/>
          <w:sz w:val="24"/>
          <w:u w:val="single"/>
        </w:rPr>
        <w:t xml:space="preserve">Section 9.01 </w:t>
      </w:r>
      <w:r>
        <w:rPr>
          <w:rFonts w:ascii="Times New Roman;sans-serif" w:hAnsi="Times New Roman;sans-serif"/>
          <w:b w:val="false"/>
          <w:color w:val="000000"/>
          <w:sz w:val="24"/>
        </w:rPr>
        <w:t xml:space="preserve">(c) the date selected by the Borrower on which all Commitments have been reduced to zero pursuant to </w:t>
      </w:r>
      <w:r>
        <w:rPr>
          <w:rFonts w:ascii="Times New Roman;sans-serif" w:hAnsi="Times New Roman;sans-serif"/>
          <w:b w:val="false"/>
          <w:color w:val="000000"/>
          <w:sz w:val="24"/>
          <w:u w:val="single"/>
        </w:rPr>
        <w:t>Section 2.02(e)</w:t>
      </w:r>
      <w:r>
        <w:rPr>
          <w:color w:val="000000"/>
        </w:rPr>
        <w:t xml:space="preserve"> </w:t>
      </w:r>
      <w:r>
        <w:rPr>
          <w:rFonts w:ascii="Times New Roman;sans-serif" w:hAnsi="Times New Roman;sans-serif"/>
          <w:b w:val="false"/>
          <w:color w:val="000000"/>
          <w:sz w:val="24"/>
        </w:rPr>
        <w:t xml:space="preserve">and (d) the date as determined pursuant to </w:t>
      </w:r>
      <w:r>
        <w:rPr>
          <w:rFonts w:ascii="Times New Roman;sans-serif" w:hAnsi="Times New Roman;sans-serif"/>
          <w:b w:val="false"/>
          <w:color w:val="000000"/>
          <w:sz w:val="24"/>
          <w:u w:val="single"/>
        </w:rPr>
        <w:t>Section 7.01(z)(i)</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Total Reserves</w:t>
      </w:r>
      <w:r>
        <w:rPr>
          <w:color w:val="000000"/>
        </w:rPr>
        <w:t xml:space="preserve">” </w:t>
      </w:r>
      <w:r>
        <w:rPr>
          <w:rFonts w:ascii="Times New Roman;sans-serif" w:hAnsi="Times New Roman;sans-serif"/>
          <w:b w:val="false"/>
          <w:color w:val="000000"/>
          <w:sz w:val="24"/>
        </w:rPr>
        <w:t xml:space="preserve">means, at any time of determination, an amount equal to the sum of (a) the product of (i) the sum of: (A) the Yield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greatest of (I) the sum of the Concentration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Minimum Dilution Reserve Percentage and (II) the sum of the Loss Reserve Percentage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Dilution Reserve Percentage, </w:t>
      </w:r>
      <w:r>
        <w:rPr>
          <w:rFonts w:ascii="Times New Roman;sans-serif" w:hAnsi="Times New Roman;sans-serif"/>
          <w:b w:val="false"/>
          <w:color w:val="000000"/>
          <w:sz w:val="24"/>
          <w:u w:val="single"/>
        </w:rPr>
        <w:t>multiplied by</w:t>
      </w:r>
      <w:r>
        <w:rPr>
          <w:color w:val="000000"/>
        </w:rPr>
        <w:t xml:space="preserve"> </w:t>
      </w:r>
      <w:r>
        <w:rPr>
          <w:rFonts w:ascii="Times New Roman;sans-serif" w:hAnsi="Times New Roman;sans-serif"/>
          <w:b w:val="false"/>
          <w:color w:val="000000"/>
          <w:sz w:val="24"/>
        </w:rPr>
        <w:t xml:space="preserve">(ii) the Adjusted Net Receivables Pool Balance at such time,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(b) the Currency Reserve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Temporarily Ineligible Receivables shall be excluded from each component of the calculations used to determine Total Reserves.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 Documents</w:t>
      </w:r>
      <w:r>
        <w:rPr>
          <w:color w:val="000000"/>
        </w:rPr>
        <w:t xml:space="preserve">” </w:t>
      </w:r>
      <w:r>
        <w:rPr>
          <w:rFonts w:ascii="Times New Roman;sans-serif" w:hAnsi="Times New Roman;sans-serif"/>
          <w:b w:val="false"/>
          <w:color w:val="000000"/>
          <w:sz w:val="24"/>
        </w:rPr>
        <w:t xml:space="preserve">means this Agreement, the Purchase and Sale Agreement, the Account Control Agreement(s), the Fee Letter, each Subordinated Note, the Performance </w:t>
      </w:r>
      <w:r>
        <w:br w:type="page"/>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2100"/>
                <wp:effectExtent l="0" t="0" r="0" b="0"/>
                <wp:wrapNone/>
                <wp:docPr id="91" name="Frame9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Guaranty and all other certificates, instruments, UCC financing statements, reports, notices, agreements and documents executed or delivered under or in connection with this Agreement, in each case as the same may be amended, supplemented or otherwise modified from time to time in accordance with this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Transaction Information</w:t>
      </w:r>
      <w:r>
        <w:rPr>
          <w:color w:val="000000"/>
        </w:rPr>
        <w:t xml:space="preserve">” </w:t>
      </w:r>
      <w:r>
        <w:rPr>
          <w:rFonts w:ascii="Times New Roman;sans-serif" w:hAnsi="Times New Roman;sans-serif"/>
          <w:b w:val="false"/>
          <w:color w:val="000000"/>
          <w:sz w:val="24"/>
        </w:rPr>
        <w:t>means any information provided to any Rating Agency, in each case, to the extent related to such Rating Agency providing or proposing to provide a rating of any Notes or monitoring such rating including, without limitation, information in connection with the Borrower, the Originator, the Servicer or the Receivables.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UCC</w:t>
      </w:r>
      <w:r>
        <w:rPr>
          <w:color w:val="000000"/>
        </w:rPr>
        <w:t xml:space="preserve">” </w:t>
      </w:r>
      <w:r>
        <w:rPr>
          <w:rFonts w:ascii="Times New Roman;sans-serif" w:hAnsi="Times New Roman;sans-serif"/>
          <w:b w:val="false"/>
          <w:color w:val="000000"/>
          <w:sz w:val="24"/>
        </w:rPr>
        <w:t>means the Uniform Commercial Code as from time to time in effect in the applicable jurisdiction.</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Unbilled Receivable</w:t>
      </w:r>
      <w:r>
        <w:rPr>
          <w:color w:val="000000"/>
        </w:rPr>
        <w:t xml:space="preserve">” </w:t>
      </w:r>
      <w:r>
        <w:rPr>
          <w:rFonts w:ascii="Times New Roman;sans-serif" w:hAnsi="Times New Roman;sans-serif"/>
          <w:b w:val="false"/>
          <w:color w:val="000000"/>
          <w:sz w:val="24"/>
        </w:rPr>
        <w:t>means, at any time, any Receivable as to which the invoice or bill with respect thereto has not yet been sent to the Obligor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Unmatured Event of Default</w:t>
      </w:r>
      <w:r>
        <w:rPr>
          <w:color w:val="000000"/>
        </w:rPr>
        <w:t xml:space="preserve">” </w:t>
      </w:r>
      <w:r>
        <w:rPr>
          <w:rFonts w:ascii="Times New Roman;sans-serif" w:hAnsi="Times New Roman;sans-serif"/>
          <w:b w:val="false"/>
          <w:color w:val="000000"/>
          <w:sz w:val="24"/>
        </w:rPr>
        <w:t>means an event that but for notice or lapse of time or both would constitute an Event of Default.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Unmatured Purchase and Sale Termination Event</w:t>
      </w:r>
      <w:r>
        <w:rPr>
          <w:color w:val="000000"/>
        </w:rPr>
        <w:t xml:space="preserve">” </w:t>
      </w:r>
      <w:r>
        <w:rPr>
          <w:rFonts w:ascii="Times New Roman;sans-serif" w:hAnsi="Times New Roman;sans-serif"/>
          <w:b w:val="false"/>
          <w:color w:val="000000"/>
          <w:sz w:val="24"/>
        </w:rPr>
        <w:t>has the meaning set forth in the Purchase and Sale Agreement.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Dollar Equivalent</w:t>
      </w:r>
      <w:r>
        <w:rPr>
          <w:color w:val="000000"/>
        </w:rPr>
        <w:t xml:space="preserve">” </w:t>
      </w:r>
      <w:r>
        <w:rPr>
          <w:rFonts w:ascii="Times New Roman;sans-serif" w:hAnsi="Times New Roman;sans-serif"/>
          <w:b w:val="false"/>
          <w:color w:val="000000"/>
          <w:sz w:val="24"/>
        </w:rPr>
        <w:t>means, on any date on which a determination thereof is to be made, with respect to (a) any amount denominated in U.S. Dollars, such amount and (b) any amount denominated in an Alternative Currency, the U.S. Dollar equivalent of such amount of such Alternative Currency determined by reference to the Spot Rate determined as of such determination date.</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Obligor</w:t>
      </w:r>
      <w:r>
        <w:rPr>
          <w:color w:val="000000"/>
        </w:rPr>
        <w:t xml:space="preserve">” </w:t>
      </w:r>
      <w:r>
        <w:rPr>
          <w:rFonts w:ascii="Times New Roman;sans-serif" w:hAnsi="Times New Roman;sans-serif"/>
          <w:b w:val="false"/>
          <w:color w:val="000000"/>
          <w:sz w:val="24"/>
        </w:rPr>
        <w:t>means an Obligor that is (a) a corporation or other business organization and is organized under the laws of the United States of America (or of a United States of America territory, district, state, commonwealth, or possession, including, without limitation, Puerto Rico and the U.S. Virgin Islands) or any political subdivision thereof, (b) the federal government of the United States of America or any political subdivision, department, affiliate, agency or other entity thereof, and (c) any state or local government body in the United States of America or any political subdivision, department, affiliate, agency or other entity thereof.</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U.S. Tax Compliance Certificate</w:t>
      </w:r>
      <w:r>
        <w:rPr>
          <w:color w:val="000000"/>
        </w:rPr>
        <w:t xml:space="preserve">” </w:t>
      </w:r>
      <w:r>
        <w:rPr>
          <w:rFonts w:ascii="Times New Roman;sans-serif" w:hAnsi="Times New Roman;sans-serif"/>
          <w:b w:val="false"/>
          <w:color w:val="000000"/>
          <w:sz w:val="24"/>
        </w:rPr>
        <w:t xml:space="preserve">has the meaning set forth in </w:t>
      </w:r>
      <w:r>
        <w:rPr>
          <w:rFonts w:ascii="Times New Roman;sans-serif" w:hAnsi="Times New Roman;sans-serif"/>
          <w:b w:val="false"/>
          <w:color w:val="000000"/>
          <w:sz w:val="24"/>
          <w:u w:val="single"/>
        </w:rPr>
        <w:t>Section 4.03(f)(ii)(B)(3)</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Volcker Rule</w:t>
      </w:r>
      <w:r>
        <w:rPr>
          <w:color w:val="000000"/>
        </w:rPr>
        <w:t xml:space="preserve">” </w:t>
      </w:r>
      <w:r>
        <w:rPr>
          <w:rFonts w:ascii="Times New Roman;sans-serif" w:hAnsi="Times New Roman;sans-serif"/>
          <w:b w:val="false"/>
          <w:color w:val="000000"/>
          <w:sz w:val="24"/>
        </w:rPr>
        <w:t>means Section 13 of the U.S. Bank Holding Company Act of 1956, as amended, and the applicable rules and regulations thereunder.</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Voting Securities</w:t>
      </w:r>
      <w:r>
        <w:rPr>
          <w:color w:val="000000"/>
        </w:rPr>
        <w:t xml:space="preserve">” </w:t>
      </w:r>
      <w:r>
        <w:rPr>
          <w:rFonts w:ascii="Times New Roman;sans-serif" w:hAnsi="Times New Roman;sans-serif"/>
          <w:b w:val="false"/>
          <w:color w:val="000000"/>
          <w:sz w:val="24"/>
        </w:rPr>
        <w:t>means, with respect to any Person, securities or other ownership interests having by the terms thereof ordinary voting power to elect the board of directors or other persons performing similar functions of such Person (irrespective of whether or not at such time securities or other ownership interests of any other class or classes of such Person shall have or might have voting power by reason of the happening of any contingency).</w:t>
      </w:r>
      <w:r>
        <w:br w:type="page"/>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2100"/>
                <wp:effectExtent l="0" t="0" r="0" b="0"/>
                <wp:wrapNone/>
                <wp:docPr id="92" name="Frame9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Weighted Average Remaining Credit Terms</w:t>
      </w:r>
      <w:r>
        <w:rPr>
          <w:color w:val="000000"/>
        </w:rPr>
        <w:t xml:space="preserve">” </w:t>
      </w:r>
      <w:r>
        <w:rPr>
          <w:rFonts w:ascii="Times New Roman;sans-serif" w:hAnsi="Times New Roman;sans-serif"/>
          <w:b w:val="false"/>
          <w:color w:val="000000"/>
          <w:sz w:val="24"/>
        </w:rPr>
        <w:t xml:space="preserve">means, for any Fiscal Month, the weighted average (weighted based on the Outstanding Balance of all Pool Receivables) remaining payment period (computed in days and calculated based on the difference between the date of determination and the stated due date for payment) of invoices for all Pool Receivables (for which the related stated due date for payment has not occurred as of such date of determination) as of the last day of such Fiscal Month. </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Withdrawal Liability</w:t>
      </w:r>
      <w:r>
        <w:rPr>
          <w:color w:val="000000"/>
        </w:rPr>
        <w:t xml:space="preserve">” </w:t>
      </w:r>
      <w:r>
        <w:rPr>
          <w:rFonts w:ascii="Times New Roman;sans-serif" w:hAnsi="Times New Roman;sans-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spacing w:lineRule="auto" w:line="240" w:before="0" w:after="240"/>
        <w:ind w:left="0" w:right="0" w:firstLine="720"/>
        <w:jc w:val="both"/>
        <w:rPr/>
      </w:pPr>
      <w:r>
        <w:rPr>
          <w:color w:val="000000"/>
        </w:rPr>
        <w:t>“</w:t>
      </w:r>
      <w:r>
        <w:rPr>
          <w:rFonts w:ascii="Times New Roman;sans-serif" w:hAnsi="Times New Roman;sans-serif"/>
          <w:b w:val="false"/>
          <w:color w:val="000000"/>
          <w:sz w:val="24"/>
          <w:u w:val="single"/>
        </w:rPr>
        <w:t>Yield Reserve Percentage</w:t>
      </w:r>
      <w:r>
        <w:rPr>
          <w:color w:val="000000"/>
        </w:rPr>
        <w:t xml:space="preserve">” </w:t>
      </w:r>
      <w:r>
        <w:rPr>
          <w:rFonts w:ascii="Times New Roman;sans-serif" w:hAnsi="Times New Roman;sans-serif"/>
          <w:b w:val="false"/>
          <w:color w:val="000000"/>
          <w:sz w:val="24"/>
        </w:rPr>
        <w:t>means at any time of determination:</w:t>
      </w:r>
    </w:p>
    <w:p>
      <w:pPr>
        <w:pStyle w:val="TextBody"/>
        <w:spacing w:lineRule="auto" w:line="240" w:before="0" w:after="240"/>
        <w:ind w:left="0" w:right="0" w:firstLine="720"/>
        <w:rPr/>
      </w:pPr>
      <w:r>
        <w:rPr>
          <w:rFonts w:ascii="Times New Roman;sans-serif" w:hAnsi="Times New Roman;sans-serif"/>
          <w:b w:val="false"/>
          <w:color w:val="000000"/>
          <w:sz w:val="24"/>
          <w:u w:val="single"/>
        </w:rPr>
        <w:t>1.50 x DSO x (BR + SFR)</w:t>
      </w:r>
      <w:r>
        <w:rPr>
          <w:rFonts w:ascii="Times New Roman;sans-serif" w:hAnsi="Times New Roman;sans-serif"/>
          <w:b w:val="false"/>
          <w:color w:val="000000"/>
          <w:sz w:val="24"/>
        </w:rPr>
        <w:br/>
        <w:t>        360</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w:t>
      </w:r>
    </w:p>
    <w:p>
      <w:pPr>
        <w:pStyle w:val="TextBody"/>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BR    =    the Base Rate;</w:t>
      </w:r>
    </w:p>
    <w:p>
      <w:pPr>
        <w:pStyle w:val="TextBody"/>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DSO    =    the Days’ Sales Outstanding for the most recently ended Fiscal Month; and</w:t>
      </w:r>
    </w:p>
    <w:p>
      <w:pPr>
        <w:pStyle w:val="TextBody"/>
        <w:spacing w:lineRule="auto" w:line="240" w:before="0" w:after="240"/>
        <w:ind w:left="0" w:right="0" w:hanging="1440"/>
        <w:jc w:val="both"/>
        <w:rPr>
          <w:rFonts w:ascii="Times New Roman;sans-serif" w:hAnsi="Times New Roman;sans-serif"/>
          <w:b w:val="false"/>
          <w:color w:val="000000"/>
          <w:sz w:val="24"/>
        </w:rPr>
      </w:pPr>
      <w:r>
        <w:rPr>
          <w:rFonts w:ascii="Times New Roman;sans-serif" w:hAnsi="Times New Roman;sans-serif"/>
          <w:b w:val="false"/>
          <w:color w:val="000000"/>
          <w:sz w:val="24"/>
        </w:rPr>
        <w:t>SFR    =    the Servicing Fee Rate.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Other Interpretative Matters. All accounting terms not specifically defined herein shall be construed in accordance with GAAP. All terms used in Article 9 of the UCC in the State of New York and not specifically defined herein, are used herein as defined in such Article 9. Unless otherwise expressly indicated, all references herein to “Article,” “Section,” “Schedule”, “Exhibit” or “Annex” shall mean articles and sections of, and schedules, exhibits and annexes to, this Agreement. For purposes of this Agreement, the other Transaction Documents and all such certificates and other documents, unless the context otherwise requires: (a) references to any amount as on deposit or outstanding on any particular date means such amount at the close of business on such day; (b) the words “hereof,” “herein” and “hereunder” and words of similar import refer to such agreement (or the certificate or other document in which they are used) as a whole and not to any particular provision of such agreement (or such certificate or document); (c) references to any Section, Schedule or Exhibit are references to Sections, Schedules and Exhibits in or to such agreement (or the certificate or other document in which the reference is made), and references to any paragraph, subsection, clause or other subdivision within any Section or definition refer to such paragraph, subsection, clause or other subdivision of such Section or definition; (d) the term “including” means “including without limitation”; (e) references to any Applicable Law refer to that Applicable Law as amended from time to time and include any successor Applicable Law; (f) references to any agreement refer to that agreement as from time to time amended, restated or supplemented or as the terms of such agreement are waived or modified in accordance with its terms; (g) references to any Person include that Person’s permitted successors and assigns; (h) headings are for purposes of reference only and shall not otherwise affect the meaning or interpretation of any provision hereof; (i) unless otherwise provided, in the calculation of time from a specified date to a later specified date, the term “from” means “from and including”, and the terms “to” and “until” each means “to but excluding”; (j) terms in one gender include the parallel terms in the neuter and opposite gender; (k) references to any amount as on deposit or outstanding on any particular date means such amount at the close of business on such day and (l) the term “or” is not exclusive.</w:t>
      </w:r>
      <w:r>
        <w:br w:type="page"/>
      </w:r>
    </w:p>
    <w:p>
      <w:pPr>
        <w:pStyle w:val="TextBody"/>
        <w:spacing w:before="0" w:after="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2100"/>
                <wp:effectExtent l="0" t="0" r="0" b="0"/>
                <wp:wrapNone/>
                <wp:docPr id="93" name="Frame9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center"/>
        <w:rPr/>
      </w:pPr>
      <w:r>
        <w:rPr>
          <w:rFonts w:ascii="Times New Roman;sans-serif" w:hAnsi="Times New Roman;sans-serif"/>
          <w:b/>
          <w:color w:val="000000"/>
          <w:sz w:val="24"/>
        </w:rPr>
        <w:t>ARTICLE 2</w:t>
      </w:r>
      <w:r>
        <w:rPr>
          <w:rFonts w:ascii="Times New Roman;sans-serif" w:hAnsi="Times New Roman;sans-serif"/>
          <w:b/>
          <w:color w:val="000000"/>
          <w:sz w:val="24"/>
        </w:rPr>
        <w:br/>
        <w:br/>
        <w:t>TERMS OF THE LOANS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 xml:space="preserve">Loan Facility. Upon a request by the Borrower pursuant to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and on the terms and subject to the conditions hereinafter set forth, the Conduit Lenders, ratably, in accordance with the aggregate of the Commitments of the Related Committed Lenders with respect to each such Conduit Lender, severally and not jointly, may, in their sole discretion, make Loans to the Borrower on a revolving basis, and if and to the extent any Conduit Lender does not make any such requested Loan or if any Group does not include a Conduit Lender, the Related Committed Lender(s) for such Conduit Lender or the Committed Lender for such Group, as the case may be, shall, ratably in accordance with their respective Commitments, severally and not jointly, make such Loans to the Borrower, in either case, from time to time during the period from the Closing Date to the Termination Date. Under no circumstances shall any Lender be obligated to make any such Loan if, after giving effect to such Loan:</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i.the Aggregate Capital would exceed the Facility Limit at such time; </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ii.the sum of (A) the Capital of such Lender,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outstanding Capital of each other Lender in its Group, would exceed the Group Commitment of such Lender’s Group;</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iii.if such Lender is a Committed Lender, the aggregate outstanding Capital of such Committed Lender would exceed its Commitment; or</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iv.the Aggregate Capital would exceed the Borrowing Base at such time.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Making Loans; Repayment of Loans. </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i.Each Loan hereunder shall be made on at least one (1) Business Day’s prior written request from the Borrower to the Administrative Agent and each Group Agent in the form of a Loan Request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Each such request for a Loan shall be made no later than 1:00 p.m. (New York City time) on a Business Day (</w:t>
      </w:r>
      <w:r>
        <w:rPr>
          <w:rFonts w:ascii="Times New Roman;sans-serif" w:hAnsi="Times New Roman;sans-serif"/>
          <w:b w:val="false"/>
          <w:color w:val="000000"/>
          <w:sz w:val="24"/>
          <w:u w:val="single"/>
        </w:rPr>
        <w:t>it being understood</w:t>
      </w:r>
      <w:r>
        <w:rPr>
          <w:color w:val="000000"/>
        </w:rPr>
        <w:t xml:space="preserve"> </w:t>
      </w:r>
      <w:r>
        <w:rPr>
          <w:rFonts w:ascii="Times New Roman;sans-serif" w:hAnsi="Times New Roman;sans-serif"/>
          <w:b w:val="false"/>
          <w:color w:val="000000"/>
          <w:sz w:val="24"/>
        </w:rPr>
        <w:t>that any such request made after such time shall be deemed to have been made on the following Business Day) and shall specify (i) the amount of the Loan(s) requested (which shall not be less than one million dollars ($1,000,000) and shall be an integral multiple of one hundred thousand dollars ($100,000)), (ii) the allocation of such amount among the Groups (which shall be ratable based on the Group Commitments), (iii) the account to which the proceeds of such Loan shall be distributed and (iv) the date such requested Loan is to be made (which shall be a Business Day).</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ii.On the date of each Loan specified in the applicable Loan Request, the Lenders shall, upon satisfaction of the applicable conditions set forth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and pursuant to the other conditions set forth in this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make available to the Borrower in same day funds an aggregate amount equal to the amount of such Loans requested, at the account set forth in the related Loan Request.</w:t>
      </w:r>
    </w:p>
    <w:p>
      <w:pPr>
        <w:pStyle w:val="TextBody"/>
        <w:spacing w:lineRule="auto" w:line="240" w:before="0" w:after="240"/>
        <w:ind w:left="0" w:right="0" w:firstLine="1180"/>
        <w:jc w:val="both"/>
        <w:rPr/>
      </w:pPr>
      <w:r>
        <w:rPr>
          <w:rFonts w:ascii="Times New Roman;sans-serif" w:hAnsi="Times New Roman;sans-serif"/>
          <w:b w:val="false"/>
          <w:color w:val="000000"/>
          <w:sz w:val="24"/>
        </w:rPr>
        <w:t>iii.Each Committed Lender’s obligation shall be several, such that the failure of any Committed Lender to make available to the Borrower any funds in connection with any Loan shall not relieve any other Committed Lender of its obligation, if any, hereunder to make funds available on the date such Loans are requested (</w:t>
      </w:r>
      <w:r>
        <w:rPr>
          <w:rFonts w:ascii="Times New Roman;sans-serif" w:hAnsi="Times New Roman;sans-serif"/>
          <w:b w:val="false"/>
          <w:color w:val="000000"/>
          <w:sz w:val="24"/>
          <w:u w:val="single"/>
        </w:rPr>
        <w:t>it</w:t>
      </w:r>
      <w:r>
        <w:rPr>
          <w:color w:val="000000"/>
        </w:rPr>
        <w:t xml:space="preserve"> </w:t>
      </w:r>
      <w:r>
        <w:rPr>
          <w:rFonts w:ascii="Times New Roman;sans-serif" w:hAnsi="Times New Roman;sans-serif"/>
          <w:b w:val="false"/>
          <w:color w:val="000000"/>
          <w:sz w:val="24"/>
          <w:u w:val="single"/>
        </w:rPr>
        <w:t>being</w:t>
      </w:r>
      <w:r>
        <w:rPr>
          <w:color w:val="000000"/>
        </w:rPr>
        <w:t xml:space="preserve"> </w:t>
      </w:r>
      <w:r>
        <w:rPr>
          <w:rFonts w:ascii="Times New Roman;sans-serif" w:hAnsi="Times New Roman;sans-serif"/>
          <w:b w:val="false"/>
          <w:color w:val="000000"/>
          <w:sz w:val="24"/>
          <w:u w:val="single"/>
        </w:rPr>
        <w:t>understood</w:t>
      </w:r>
      <w:r>
        <w:rPr>
          <w:rFonts w:ascii="Times New Roman;sans-serif" w:hAnsi="Times New Roman;sans-serif"/>
          <w:b w:val="false"/>
          <w:color w:val="000000"/>
          <w:sz w:val="24"/>
        </w:rPr>
        <w:t>, that no Committed Lender shall be responsible for the failure of any other Committed Lender (other than a Committed Lender in its Group) to make funds available to the Borrower in connection with any Loan hereunder).</w:t>
      </w:r>
      <w:r>
        <w:br w:type="page"/>
      </w:r>
    </w:p>
    <w:p>
      <w:pPr>
        <w:pStyle w:val="TextBody"/>
        <w:spacing w:before="0" w:after="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2100"/>
                <wp:effectExtent l="0" t="0" r="0" b="0"/>
                <wp:wrapNone/>
                <wp:docPr id="94" name="Frame9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iv.The Borrower shall repay in full the outstanding Capital of each Lender on the Final Maturity Date. Prior thereto, the Borrower shall, on each Settlement Date, make a prepayment of the outstanding Capital of the Lenders to the extent required under </w:t>
      </w:r>
      <w:r>
        <w:rPr>
          <w:rFonts w:ascii="Times New Roman;sans-serif" w:hAnsi="Times New Roman;sans-serif"/>
          <w:b w:val="false"/>
          <w:color w:val="000000"/>
          <w:sz w:val="24"/>
          <w:u w:val="single"/>
        </w:rPr>
        <w:t>Section 3.01</w:t>
      </w:r>
      <w:r>
        <w:rPr>
          <w:color w:val="000000"/>
        </w:rPr>
        <w:t xml:space="preserve"> </w:t>
      </w:r>
      <w:r>
        <w:rPr>
          <w:rFonts w:ascii="Times New Roman;sans-serif" w:hAnsi="Times New Roman;sans-serif"/>
          <w:b w:val="false"/>
          <w:color w:val="000000"/>
          <w:sz w:val="24"/>
        </w:rPr>
        <w:t xml:space="preserve">and otherwise in accordance therewith. Notwithstanding the foregoing, the Borrower, in its discretion, shall have the right to make a prepayment, in whole or in part, of the outstanding Capital of the Lenders on any Business Day upon at least (x) with respect to any Base Rate Loan, one (1) Business Day’s prior written notice thereof to the Administrative Agent and each Group Agent, and (y) with respect to any Term SOFR Rate Loan or Daily SOFR Rate Loan, three (3) Business Days prior written notice thereof to the Administrative Agent and each Group Agent, in any case in the form of a Reduction Notice attached hereto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 each such prepayment shall be in a minimum aggregate amount of one hundred thousand dollars ($100,000) and shall be an integral multiple of one hundred thousand dollars ($100,000);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notwithstanding the foregoing, a prepayment may be in an amount necessary to reduce any Borrowing Base Deficit existing at such time or the outstanding Capital of the Lenders to zero ($0), and (ii) any accrued Interest and Fees in respect of such prepaid Capital shall be paid on the immediately following Settlement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Borrower shall not provide any Reduction Notice, and no such Reduction Notice shall be effective, if after giving effect thereto, the Aggregate Capital at such time would be less than the Minimum Funding Threshold.</w:t>
      </w:r>
    </w:p>
    <w:p>
      <w:pPr>
        <w:pStyle w:val="TextBody"/>
        <w:spacing w:lineRule="auto" w:line="240" w:before="0" w:after="240"/>
        <w:ind w:left="0" w:right="0" w:firstLine="1260"/>
        <w:jc w:val="both"/>
        <w:rPr/>
      </w:pPr>
      <w:r>
        <w:rPr>
          <w:rFonts w:ascii="Times New Roman;sans-serif" w:hAnsi="Times New Roman;sans-serif"/>
          <w:b w:val="false"/>
          <w:color w:val="000000"/>
          <w:sz w:val="24"/>
        </w:rPr>
        <w:t xml:space="preserve">v.All prepayments required pursuant to this </w:t>
      </w:r>
      <w:r>
        <w:rPr>
          <w:rFonts w:ascii="Times New Roman;sans-serif" w:hAnsi="Times New Roman;sans-serif"/>
          <w:b w:val="false"/>
          <w:color w:val="000000"/>
          <w:sz w:val="24"/>
          <w:u w:val="single"/>
        </w:rPr>
        <w:t>Section 2.02</w:t>
      </w:r>
      <w:r>
        <w:rPr>
          <w:color w:val="000000"/>
        </w:rPr>
        <w:t xml:space="preserve"> </w:t>
      </w:r>
      <w:r>
        <w:rPr>
          <w:rFonts w:ascii="Times New Roman;sans-serif" w:hAnsi="Times New Roman;sans-serif"/>
          <w:b w:val="false"/>
          <w:color w:val="000000"/>
          <w:sz w:val="24"/>
        </w:rPr>
        <w:t xml:space="preserve">shall be applied first to Base Rate Loans, then to Daily SOFR Rate Loans, then to Term SOFR Rate Loans. In accordance with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the Borrower shall indemnify the Lenders for any loss or expense, including loss of margin, incurred with respect to any such prepayments applied against Loans subject to a Term SOFR Option or Daily SOFR Option on any day other than the last day of the applicable Interest Period.</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Decreases or Increases in Commitments</w:t>
      </w:r>
      <w:r>
        <w:rPr>
          <w:rFonts w:ascii="Times New Roman;sans-serif" w:hAnsi="Times New Roman;sans-serif"/>
          <w:b w:val="false"/>
          <w:color w:val="000000"/>
          <w:sz w:val="24"/>
        </w:rPr>
        <w: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1.The Borrower may, at any time upon at least thirty (30) calendar days’ prior written notice to the Administrative Agent and each Group Agent, terminate the Facility Limit in whole or ratably reduce the Facility Limit in part. Each partial reduction in the Facility Limit shall be in a minimum aggregate amount of five million dollars ($5,000,000) or integral multiples of one million dollars ($1,000,000) in excess thereof, and no such partial reduction shall reduce the Facility Limit to an amount less than one hundred million dollars ($100,000,000). In connection with any partial reduction in the Facility Limit, the Commitment of each Committed Lender shall be ratably reduced.</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2.So long as no Event of Default or Unmatured Event of Default has occurred and is continuing, the Borrower may, with the prior written consent of the Majority Group Agents (in their sole discretion), upon thirty (30) calendar days’ prior written notice to the Administrative Agent and the Majority Group Agents, from time to time, request an increase in the Commitment with respect to one or more Lenders (and a related increase in the Facility Limit) or cause additional Persons to become parties to this Agreement, as lenders, at any time following the Closing Date and prior to the Termination Date; it being understood and agreed that the Administrative Agent, any Majority Group Agent or any Lender increasing its Commitment pursuant to this </w:t>
      </w:r>
      <w:r>
        <w:rPr>
          <w:rFonts w:ascii="Times New Roman;sans-serif" w:hAnsi="Times New Roman;sans-serif"/>
          <w:b w:val="false"/>
          <w:color w:val="000000"/>
          <w:sz w:val="24"/>
          <w:u w:val="single"/>
        </w:rPr>
        <w:t>Section 2.02(e)(ii)</w:t>
      </w:r>
      <w:r>
        <w:rPr>
          <w:color w:val="000000"/>
        </w:rPr>
        <w:t xml:space="preserve"> </w:t>
      </w:r>
      <w:r>
        <w:rPr>
          <w:rFonts w:ascii="Times New Roman;sans-serif" w:hAnsi="Times New Roman;sans-serif"/>
          <w:b w:val="false"/>
          <w:color w:val="000000"/>
          <w:sz w:val="24"/>
        </w:rPr>
        <w:t xml:space="preserve">may request any of (A) resolutions of the Board of Managers of the Borrower approving or consenting to such Commitment increase and authorizing the execution, delivery and performance of any amendment to this Agreement, (B) a corporate and enforceability opinion of counsel of the Borrower and (C) such other documents, agreements and opinions reasonably requested by the Administrative Agent, such Majority Group Agent or such Lender. For the avoidance of doubt, Any such Person not </w:t>
      </w:r>
      <w:r>
        <w:br w:type="page"/>
      </w:r>
    </w:p>
    <w:p>
      <w:pPr>
        <w:pStyle w:val="TextBody"/>
        <w:spacing w:before="0" w:after="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2100"/>
                <wp:effectExtent l="0" t="0" r="0" b="0"/>
                <wp:wrapNone/>
                <wp:docPr id="95" name="Frame9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responding within such time period shall be deemed to have declined to consent to an increase in such Lender’s Commitment. </w:t>
      </w:r>
    </w:p>
    <w:p>
      <w:pPr>
        <w:pStyle w:val="TextBody"/>
        <w:spacing w:lineRule="auto" w:line="240" w:before="0" w:after="240"/>
        <w:ind w:left="0" w:right="0" w:firstLine="1127"/>
        <w:jc w:val="both"/>
        <w:rPr>
          <w:rFonts w:ascii="Times New Roman;sans-serif" w:hAnsi="Times New Roman;sans-serif"/>
          <w:b w:val="false"/>
          <w:color w:val="000000"/>
          <w:sz w:val="24"/>
        </w:rPr>
      </w:pPr>
      <w:r>
        <w:rPr>
          <w:rFonts w:ascii="Times New Roman;sans-serif" w:hAnsi="Times New Roman;sans-serif"/>
          <w:b w:val="false"/>
          <w:color w:val="000000"/>
          <w:sz w:val="24"/>
        </w:rPr>
        <w:t>vii.In connection with any reduction of the Commitments, the Borrower shall remit to the Administrative Agent (i) instructions regarding such reduction and (ii) for payment to the Lenders, cash in an amount sufficient to pay (A) Capital of Lenders in each Group in excess of the Group Commitment of such Group and (B) all other outstanding Borrower Obligations with respect to such reduction (determined based on the ratio of the reduction of the Commitments being effected to the amount of the Commitments prior to such reduction or, if the Administrative Agent reasonably determines that any portion of the outstanding Borrower Obligations is allocable solely to that portion of the Commitments being reduced or has arisen solely as a result of such reduction, all of such portion) including, without duplication, any associated Breakage Fees. Upon receipt of any such amounts, the Administrative Agent shall apply such amounts first to the reduction of the outstanding Capital, and second to the payment of the remaining outstanding Borrower Obligations with respect to such reduction, including any Breakage Fees, by paying such amounts to the Lenders.</w:t>
      </w:r>
    </w:p>
    <w:p>
      <w:pPr>
        <w:pStyle w:val="TextBody"/>
        <w:spacing w:lineRule="auto" w:line="240" w:before="0" w:after="240"/>
        <w:ind w:left="0" w:right="0" w:firstLine="1060"/>
        <w:jc w:val="both"/>
        <w:rPr/>
      </w:pPr>
      <w:r>
        <w:rPr>
          <w:rFonts w:ascii="Times New Roman;sans-serif" w:hAnsi="Times New Roman;sans-serif"/>
          <w:b w:val="false"/>
          <w:color w:val="000000"/>
          <w:sz w:val="24"/>
        </w:rPr>
        <w:t xml:space="preserve">viii.The Borrower hereby covenants and agrees from time to time to request Loans pursuant to </w:t>
      </w:r>
      <w:r>
        <w:rPr>
          <w:rFonts w:ascii="Times New Roman;sans-serif" w:hAnsi="Times New Roman;sans-serif"/>
          <w:b w:val="false"/>
          <w:color w:val="000000"/>
          <w:sz w:val="24"/>
          <w:u w:val="single"/>
        </w:rPr>
        <w:t>Section 2.02(a)</w:t>
      </w:r>
      <w:r>
        <w:rPr>
          <w:color w:val="000000"/>
        </w:rPr>
        <w:t xml:space="preserve"> </w:t>
      </w:r>
      <w:r>
        <w:rPr>
          <w:rFonts w:ascii="Times New Roman;sans-serif" w:hAnsi="Times New Roman;sans-serif"/>
          <w:b w:val="false"/>
          <w:color w:val="000000"/>
          <w:sz w:val="24"/>
        </w:rPr>
        <w:t xml:space="preserve">in amounts and at such times such that the Aggregate Capital at all times is no less than the Minimum Funding Threshold at such time; it being understood and agreed that each Credit Extension pursuant to this Agreement is subject to the applicable conditions set forth in </w:t>
      </w:r>
      <w:r>
        <w:rPr>
          <w:rFonts w:ascii="Times New Roman;sans-serif" w:hAnsi="Times New Roman;sans-serif"/>
          <w:b w:val="false"/>
          <w:color w:val="000000"/>
          <w:sz w:val="24"/>
          <w:u w:val="single"/>
        </w:rPr>
        <w:t>Article V</w:t>
      </w:r>
      <w:r>
        <w:rPr>
          <w:color w:val="000000"/>
        </w:rPr>
        <w:t xml:space="preserve"> </w:t>
      </w:r>
      <w:r>
        <w:rPr>
          <w:rFonts w:ascii="Times New Roman;sans-serif" w:hAnsi="Times New Roman;sans-serif"/>
          <w:b w:val="false"/>
          <w:color w:val="000000"/>
          <w:sz w:val="24"/>
        </w:rPr>
        <w:t xml:space="preserve">and the other conditions set forth in this </w:t>
      </w:r>
      <w:r>
        <w:rPr>
          <w:rFonts w:ascii="Times New Roman;sans-serif" w:hAnsi="Times New Roman;sans-serif"/>
          <w:b w:val="false"/>
          <w:color w:val="000000"/>
          <w:sz w:val="24"/>
          <w:u w:val="single"/>
        </w:rPr>
        <w:t>Article II</w:t>
      </w:r>
      <w:r>
        <w:rPr>
          <w:rFonts w:ascii="Times New Roman;sans-serif" w:hAnsi="Times New Roman;sans-serif"/>
          <w:b w:val="false"/>
          <w:color w:val="000000"/>
          <w:sz w:val="24"/>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Interest and Fees.</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i.On each Settlement Date, the Borrower shall, in accordance with the terms and priorities for payment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pay to each Group Agent, each Lender, the Administrative Agent and the Structuring Agent certain fees (collectively, the “</w:t>
      </w:r>
      <w:r>
        <w:rPr>
          <w:rFonts w:ascii="Times New Roman;sans-serif" w:hAnsi="Times New Roman;sans-serif"/>
          <w:b w:val="false"/>
          <w:color w:val="000000"/>
          <w:sz w:val="24"/>
          <w:u w:val="single"/>
        </w:rPr>
        <w:t>Fees</w:t>
      </w:r>
      <w:r>
        <w:rPr>
          <w:color w:val="000000"/>
        </w:rPr>
        <w:t>”</w:t>
      </w:r>
      <w:r>
        <w:rPr>
          <w:rFonts w:ascii="Times New Roman;sans-serif" w:hAnsi="Times New Roman;sans-serif"/>
          <w:b w:val="false"/>
          <w:color w:val="000000"/>
          <w:sz w:val="24"/>
        </w:rPr>
        <w:t>) in the amounts set forth in the fee letter agreements from time to time entered into, among the Borrower, the members of the applicable Group (or their Group Agent on their behalf) and/or the Administrative Agent (each such fee letter agreement, as amended, restated, supplemented or otherwise modified from time to time, collectively being referred to herein as the “</w:t>
      </w:r>
      <w:r>
        <w:rPr>
          <w:rFonts w:ascii="Times New Roman;sans-serif" w:hAnsi="Times New Roman;sans-serif"/>
          <w:b w:val="false"/>
          <w:color w:val="000000"/>
          <w:sz w:val="24"/>
          <w:u w:val="single"/>
        </w:rPr>
        <w:t>Fee Letter</w:t>
      </w:r>
      <w:r>
        <w:rPr>
          <w:color w:val="000000"/>
        </w:rPr>
        <w:t>”</w:t>
      </w:r>
      <w:r>
        <w:rPr>
          <w:rFonts w:ascii="Times New Roman;sans-serif" w:hAnsi="Times New Roman;sans-serif"/>
          <w:b w:val="false"/>
          <w:color w:val="000000"/>
          <w:sz w:val="24"/>
        </w:rPr>
        <w:t xml:space="preserve">). Undrawn Fees (as defined in the Fee Letter) shall cease to accrue on the unfunded portion of the Commitment of such Defaulting Lender as provided in </w:t>
      </w:r>
      <w:r>
        <w:rPr>
          <w:rFonts w:ascii="Times New Roman;sans-serif" w:hAnsi="Times New Roman;sans-serif"/>
          <w:b w:val="false"/>
          <w:color w:val="000000"/>
          <w:sz w:val="24"/>
          <w:u w:val="single"/>
        </w:rPr>
        <w:t>Section 2.06</w:t>
      </w:r>
      <w:r>
        <w:rPr>
          <w:rFonts w:ascii="Times New Roman;sans-serif" w:hAnsi="Times New Roman;sans-serif"/>
          <w:b w:val="false"/>
          <w:color w:val="000000"/>
          <w:sz w:val="24"/>
        </w:rPr>
        <w: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ii.Each Loan of each Lender and the Capital thereof shall accrue interest on each day when such Capital remains outstanding at the then applicable Interest Rate for such Loan. The Borrower shall pay all Interest (including, for the avoidance of doubt, all Interest accrued on Loans during an Interest Period regardless of whether the applicable Interest Period has ended), Fees and Breakage Fees accrued during each Interest Period on each Settlement Date in accordance with the terms and priorities for payment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Records of Loans. Each Group Agent shall record in its records, the date and amount of each Loan made by the Lenders in its Group hereunder, the interest rate with respect thereto, the Interest accrued thereon and each repayment and payment thereof. Subject to </w:t>
      </w:r>
      <w:r>
        <w:rPr>
          <w:rFonts w:ascii="Times New Roman;sans-serif" w:hAnsi="Times New Roman;sans-serif"/>
          <w:b w:val="false"/>
          <w:color w:val="000000"/>
          <w:sz w:val="24"/>
          <w:u w:val="single"/>
        </w:rPr>
        <w:t>Section 13.03(c)</w:t>
      </w:r>
      <w:r>
        <w:rPr>
          <w:rFonts w:ascii="Times New Roman;sans-serif" w:hAnsi="Times New Roman;sans-serif"/>
          <w:b w:val="false"/>
          <w:color w:val="000000"/>
          <w:sz w:val="24"/>
        </w:rPr>
        <w:t>, such records shall be conclusive and binding absent manifest error. The failure to so record any such information or any error in so recording any such information shall not, however, limit or otherwise affect the obligations of the Borrower hereunder or under the other Transaction Documents to repay the Capital of each Lender, together with all Interest accruing thereon and all other Borrower Obligations.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Selection of Interest Rates.</w:t>
      </w:r>
      <w:r>
        <w:br w:type="page"/>
      </w:r>
    </w:p>
    <w:p>
      <w:pPr>
        <w:pStyle w:val="TextBody"/>
        <w:spacing w:before="0" w:after="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2100"/>
                <wp:effectExtent l="0" t="0" r="0" b="0"/>
                <wp:wrapNone/>
                <wp:docPr id="96" name="Frame9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i.The Borrower shall have the right to select from the following types of Interest Rate applicable to a Loan:</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i/>
          <w:color w:val="000000"/>
          <w:sz w:val="24"/>
          <w:u w:val="single"/>
        </w:rPr>
        <w:t>Base Rate Option</w:t>
      </w:r>
      <w:r>
        <w:rPr>
          <w:rFonts w:ascii="Times New Roman;sans-serif" w:hAnsi="Times New Roman;sans-serif"/>
          <w:b w:val="false"/>
          <w:color w:val="000000"/>
          <w:sz w:val="24"/>
        </w:rPr>
        <w:t>: the Base Rate (computed on the basis of a year of 365 or 366 days, as the case may be, and actual days elapsed), subject to change automatically from time to time effective as of the effective date of each change in the Base Rate;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i/>
          <w:color w:val="000000"/>
          <w:sz w:val="24"/>
          <w:u w:val="single"/>
        </w:rPr>
        <w:t>Term SOFR Option</w:t>
      </w:r>
      <w:r>
        <w:rPr>
          <w:rFonts w:ascii="Times New Roman;sans-serif" w:hAnsi="Times New Roman;sans-serif"/>
          <w:b w:val="false"/>
          <w:color w:val="000000"/>
          <w:sz w:val="24"/>
        </w:rPr>
        <w:t>: the Term SOFR Rate (computed on the basis of a year of 360 days and actual days elapsed) as determined for each applicable Interest Period; or</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i/>
          <w:color w:val="000000"/>
          <w:sz w:val="24"/>
          <w:u w:val="single"/>
        </w:rPr>
        <w:t>Daily SOFR Option</w:t>
      </w:r>
      <w:r>
        <w:rPr>
          <w:rFonts w:ascii="Times New Roman;sans-serif" w:hAnsi="Times New Roman;sans-serif"/>
          <w:b w:val="false"/>
          <w:color w:val="000000"/>
          <w:sz w:val="24"/>
        </w:rPr>
        <w:t>: the Daily SOFR Rate (computed on the basis of a year of 360 days and actual days elapsed) as determined for each applicable Interest Period.</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ii.So long as no Event of Default has occurred and is continuing, the Borrower may from time to time elect to change or continue the type of Interest Rate borne by each Loan or, subject to the minimum amount requirement for each outstanding Loan set forth in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xml:space="preserve">, a portion thereof by notice to the Administrative Agent not later than 11:00 a.m. (New York City time), one (1) Business Day prior to the expiration of the applicable Interest Period, as applicable;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there shall not be more than three (3) Loans accruing interest at any Interest Rate and outstanding hereunder at any one time;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for the avoidance of doubt, any change to the Interest Rate applicable to a Loan shall not be effective until the Monthly Settlement Date occurring after the date of such request. Any such notices requesting the continuation or conversion of a Loan to the Administrative Agent may be given by telephone, telecopy, or other telecommunication device acceptable to the Administrative Agent (which notice shall be irrevocable once given and, if by telephone, shall be promptly confirmed in writing in a manner acceptable to the Administrative Agent).</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iii.If, by the time required in </w:t>
      </w:r>
      <w:r>
        <w:rPr>
          <w:rFonts w:ascii="Times New Roman;sans-serif" w:hAnsi="Times New Roman;sans-serif"/>
          <w:b w:val="false"/>
          <w:color w:val="000000"/>
          <w:sz w:val="24"/>
          <w:u w:val="single"/>
        </w:rPr>
        <w:t>Section 2.05(a),</w:t>
      </w:r>
      <w:r>
        <w:rPr>
          <w:color w:val="000000"/>
        </w:rPr>
        <w:t xml:space="preserve"> </w:t>
      </w:r>
      <w:r>
        <w:rPr>
          <w:rFonts w:ascii="Times New Roman;sans-serif" w:hAnsi="Times New Roman;sans-serif"/>
          <w:b w:val="false"/>
          <w:color w:val="000000"/>
          <w:sz w:val="24"/>
        </w:rPr>
        <w:t>the Borrower fails to select an Interest Rate for any Loan, such Loan shall automatically accrue Interest at the Daily SOFR Rate for the next occurring Interest Period.</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Defaulting Lenders. Notwithstanding any provision of this Agreement to the contrary, if any Lender becomes a Defaulting Lender, then the following provisions shall apply for so long as such Lender is a Defaulting Lender:</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i.Undrawn Fees (as defined in the Fee Letter) shall cease to accrue on the unfunded portion of the Commitment of such Defaulting Lender.</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ii.The Commitment and Capital of such Defaulting Lender shall not be included in determining whether the Majority Group Agents have taken or may take any action hereunder (including any consent to any amendment, waiver or other modification pursuant to </w:t>
      </w:r>
      <w:r>
        <w:rPr>
          <w:rFonts w:ascii="Times New Roman;sans-serif" w:hAnsi="Times New Roman;sans-serif"/>
          <w:b w:val="false"/>
          <w:color w:val="000000"/>
          <w:sz w:val="24"/>
          <w:u w:val="single"/>
        </w:rPr>
        <w:t>Section 13.01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except as otherwise provided in </w:t>
      </w:r>
      <w:r>
        <w:rPr>
          <w:rFonts w:ascii="Times New Roman;sans-serif" w:hAnsi="Times New Roman;sans-serif"/>
          <w:b w:val="false"/>
          <w:color w:val="000000"/>
          <w:sz w:val="24"/>
          <w:u w:val="single"/>
        </w:rPr>
        <w:t>Section 13.01</w:t>
      </w:r>
      <w:r>
        <w:rPr>
          <w:rFonts w:ascii="Times New Roman;sans-serif" w:hAnsi="Times New Roman;sans-serif"/>
          <w:b w:val="false"/>
          <w:color w:val="000000"/>
          <w:sz w:val="24"/>
        </w:rPr>
        <w:t xml:space="preserve">, this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shall not apply to the vote of a Defaulting Lender in the case of an amendment, waiver or other modification requiring the consent of such Lender or each Lender directly affected thereby (if such Lender is directly affected thereby).</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iii.In the event that the Administrative Agent, the Borrower and the Servicer each agrees in writing that a Defaulting Lender has adequately remedied all matters that caused such Lender to be a Defaulting Lender, then on such date such Lender shall purchase at par such of the Loans of the other Lenders as the Administrative Agent shall determine may be necessary in order for such Lender to hold such Loans in accordance with its Pro Rata Percentage;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no adjustments shall be made retroactively with respect to fees accrued or payments made by </w:t>
      </w:r>
      <w:r>
        <w:br w:type="page"/>
      </w: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2100"/>
                <wp:effectExtent l="0" t="0" r="0" b="0"/>
                <wp:wrapNone/>
                <wp:docPr id="97" name="Frame9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on behalf of the Borrower while such Lender was a Defaulting Lender, and provided, further, that except to the extent otherwise agreed by the affected parties, no change hereunder from Defaulting Lender to Lender that is not a Defaulting Lender will constitute a waiver or release of any claim of any party hereunder arising from that Lender having been a Defaulting Lender.</w:t>
      </w:r>
    </w:p>
    <w:p>
      <w:pPr>
        <w:pStyle w:val="TextBody"/>
        <w:spacing w:lineRule="auto" w:line="240" w:before="0" w:after="240"/>
        <w:jc w:val="center"/>
        <w:rPr/>
      </w:pPr>
      <w:r>
        <w:rPr>
          <w:rFonts w:ascii="Times New Roman;sans-serif" w:hAnsi="Times New Roman;sans-serif"/>
          <w:b/>
          <w:color w:val="000000"/>
          <w:sz w:val="24"/>
        </w:rPr>
        <w:t>ARTICLE 3</w:t>
      </w:r>
      <w:r>
        <w:rPr>
          <w:rFonts w:ascii="Times New Roman;sans-serif" w:hAnsi="Times New Roman;sans-serif"/>
          <w:b/>
          <w:color w:val="000000"/>
          <w:sz w:val="24"/>
        </w:rPr>
        <w:br/>
        <w:br/>
        <w:t>SETTLEMENT PROCEDURES AND PAYMENT PROVISIONS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Settlement Procedures.</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i.The Servicer shall set aside and hold in trust for the benefit of the Secured Parties (or, upon the occurrence and during the continuation of a Specific Reporting Event or at any time Days’ Sales Outstanding exceeds fifty-five (55) calendar days, if so requested by the Administrative Agent, promptly upon (but in no event later than one (1) Business Day after) receipt of such request, segregate in a separate account approved by the Administrative Agent, which shall be an account maintained and controlled by the Administrative Agent unless the Administrative Agent otherwise instructs in its sole discretion, for application in accordance with the priority of payments set forth below, all Collections on Pool Receivables that are received by the Servicer or the Borrower or received in any Lock-Box or Collection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so long as each of the conditions precedent set forth in </w:t>
      </w:r>
      <w:r>
        <w:rPr>
          <w:rFonts w:ascii="Times New Roman;sans-serif" w:hAnsi="Times New Roman;sans-serif"/>
          <w:b w:val="false"/>
          <w:color w:val="000000"/>
          <w:sz w:val="24"/>
          <w:u w:val="single"/>
        </w:rPr>
        <w:t>Section 5.03</w:t>
      </w:r>
      <w:r>
        <w:rPr>
          <w:color w:val="000000"/>
        </w:rPr>
        <w:t xml:space="preserve"> </w:t>
      </w:r>
      <w:r>
        <w:rPr>
          <w:rFonts w:ascii="Times New Roman;sans-serif" w:hAnsi="Times New Roman;sans-serif"/>
          <w:b w:val="false"/>
          <w:color w:val="000000"/>
          <w:sz w:val="24"/>
        </w:rPr>
        <w:t>are satisfied on such date, the Servicer may release to the Borrower from such Collections the amount (if any) necessary to pay (i) the purchase price for Receivables purchased by the Borrower on such date in accordance with the terms of the Purchase and Sale Agreement or (ii) amounts owing by the Borrower to the Originators under the Subordinated Notes (each such release, a “</w:t>
      </w:r>
      <w:r>
        <w:rPr>
          <w:rFonts w:ascii="Times New Roman;sans-serif" w:hAnsi="Times New Roman;sans-serif"/>
          <w:b w:val="false"/>
          <w:color w:val="000000"/>
          <w:sz w:val="24"/>
          <w:u w:val="single"/>
        </w:rPr>
        <w:t>Release</w:t>
      </w:r>
      <w:r>
        <w:rPr>
          <w:color w:val="000000"/>
        </w:rPr>
        <w:t>”</w:t>
      </w:r>
      <w:r>
        <w:rPr>
          <w:rFonts w:ascii="Times New Roman;sans-serif" w:hAnsi="Times New Roman;sans-serif"/>
          <w:b w:val="false"/>
          <w:color w:val="000000"/>
          <w:sz w:val="24"/>
        </w:rPr>
        <w:t>). On each Settlement Date, the Servicer (or, following its assumption of control of the Collection Accounts, the Administrative Agent) shall, distribute such Collections in the following order of priority:</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to the Servicer for the payment of the accrued Servicing Fees payable for the immediately preceding Interest Period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if applicable, the amount of Servicing Fees payable for any prior Interest Period to the extent such amount has not been distributed to the Servicer);</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each Lender and other Credit Party (ratably, based on the amount then due and owing), all accrued and unpaid Interest, Fees and Breakage Fees due to such Lender and other Credit Party for the immediately preceding Interest Period (including any additional amounts or indemnified amounts payable under </w:t>
      </w:r>
      <w:r>
        <w:rPr>
          <w:rFonts w:ascii="Times New Roman;sans-serif" w:hAnsi="Times New Roman;sans-serif"/>
          <w:b w:val="false"/>
          <w:color w:val="000000"/>
          <w:sz w:val="24"/>
          <w:u w:val="single"/>
        </w:rPr>
        <w:t>Sections 4.03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12.01</w:t>
      </w:r>
      <w:r>
        <w:rPr>
          <w:color w:val="000000"/>
        </w:rPr>
        <w:t xml:space="preserve"> </w:t>
      </w:r>
      <w:r>
        <w:rPr>
          <w:rFonts w:ascii="Times New Roman;sans-serif" w:hAnsi="Times New Roman;sans-serif"/>
          <w:b w:val="false"/>
          <w:color w:val="000000"/>
          <w:sz w:val="24"/>
        </w:rPr>
        <w:t xml:space="preserve">in respect of such payments), </w:t>
      </w:r>
      <w:r>
        <w:rPr>
          <w:rFonts w:ascii="Times New Roman;sans-serif" w:hAnsi="Times New Roman;sans-serif"/>
          <w:b w:val="false"/>
          <w:color w:val="000000"/>
          <w:sz w:val="24"/>
          <w:u w:val="single"/>
        </w:rPr>
        <w:t>plus</w:t>
      </w:r>
      <w:r>
        <w:rPr>
          <w:rFonts w:ascii="Times New Roman;sans-serif" w:hAnsi="Times New Roman;sans-serif"/>
          <w:b w:val="false"/>
          <w:color w:val="000000"/>
          <w:sz w:val="24"/>
        </w:rPr>
        <w:t xml:space="preserve">, if applicable, the amount of any such Interest, Fees and Breakage Fees (including any additional amounts or indemnified amounts payable under </w:t>
      </w:r>
      <w:r>
        <w:rPr>
          <w:rFonts w:ascii="Times New Roman;sans-serif" w:hAnsi="Times New Roman;sans-serif"/>
          <w:b w:val="false"/>
          <w:color w:val="000000"/>
          <w:sz w:val="24"/>
          <w:u w:val="single"/>
        </w:rPr>
        <w:t>Sections 4.03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12.01</w:t>
      </w:r>
      <w:r>
        <w:rPr>
          <w:color w:val="000000"/>
        </w:rPr>
        <w:t xml:space="preserve"> </w:t>
      </w:r>
      <w:r>
        <w:rPr>
          <w:rFonts w:ascii="Times New Roman;sans-serif" w:hAnsi="Times New Roman;sans-serif"/>
          <w:b w:val="false"/>
          <w:color w:val="000000"/>
          <w:sz w:val="24"/>
        </w:rPr>
        <w:t>in respect of such payments) payable for any prior Interest Period to the extent such amount has not been distributed to such Lender or Credit Party;</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xml:space="preserve">, as set forth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below, as applicable: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a.prior to the occurrence of the Termination Date, to the extent that a Borrowing Base Deficit exists on such date or the Aggregate Capital on such date exceeds the Facility Limit, to the Lenders (ratably, based on the aggregate outstanding Capital of each Lender at such time) for the payment of a portion of the outstanding Aggregate Capital at such time, in an aggregate amount equal to the amount necessary to reduce the Borrowing Base Deficit to zero ($0) or the amount necessary to reduce the </w:t>
      </w:r>
      <w:r>
        <w:br w:type="page"/>
      </w: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2100"/>
                <wp:effectExtent l="0" t="0" r="0" b="0"/>
                <wp:wrapNone/>
                <wp:docPr id="98" name="Frame9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Aggregate Capital to an amount equal to or less than the Facility Limit, as applicable;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b.on and after the occurrence of the Termination Date, to each Lender (ratably, based on the aggregate outstanding Capital of each Lender at such time) for the payment in full of the aggregate outstanding Capital of such Lender at such time; or</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c.prior to the occurrence of the Termination Date, at the election of the Borrower from time to time and in accordance with </w:t>
      </w:r>
      <w:r>
        <w:rPr>
          <w:rFonts w:ascii="Times New Roman;sans-serif" w:hAnsi="Times New Roman;sans-serif"/>
          <w:b w:val="false"/>
          <w:color w:val="000000"/>
          <w:sz w:val="24"/>
          <w:u w:val="single"/>
        </w:rPr>
        <w:t>Section 2.02(d)</w:t>
      </w:r>
      <w:r>
        <w:rPr>
          <w:rFonts w:ascii="Times New Roman;sans-serif" w:hAnsi="Times New Roman;sans-serif"/>
          <w:b w:val="false"/>
          <w:color w:val="000000"/>
          <w:sz w:val="24"/>
        </w:rPr>
        <w:t xml:space="preserve">, to the payment of all or any portion of the outstanding Capital of the Lenders at such time (ratably, based on the aggregate outstanding Capital of each Lender at such time); </w:t>
      </w:r>
    </w:p>
    <w:p>
      <w:pPr>
        <w:pStyle w:val="TextBody"/>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to the Credit Parties, the Affected Persons and the Borrower Indemnified Parties (ratably, based on the amount due and owing at such time), for the payment of all other Borrower Obligations then due and owing by the Borrower to the Credit Parties, the Affected Persons and the Borrower Indemnified Parties; and</w:t>
      </w:r>
    </w:p>
    <w:p>
      <w:pPr>
        <w:pStyle w:val="TextBody"/>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the balance, if any, to be paid to the Borrower for its own account.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ii.All payments or distributions to be made by the Servicer, the Borrower and any other Person to the Lenders (or their respective related Affected Persons and the Borrower Indemnified Parties) shall be paid or distributed to the related Group Agent at its Group Agent’s Account. Each Group Agent, upon its receipt in the applicable Group Agent’s Account of any such payments or distributions, shall distribute such amounts to the applicable Lenders, Affected Persons and the Borrower Indemnified Parties within its Group ratably;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Group Agent shall have received insufficient funds to pay all of the above amounts in full on any such date, such Group Agent shall pay such amounts to the applicable Lenders, Affected Persons and the Borrower Indemnified Parties within its Group in accordance with the priority of payments set forth above, and with respect to any such category above for which there are insufficient funds to pay all amounts owing on such date, ratably (based on the amounts in such categories owing to each such Person in such Group) among all such Persons in such Group entitled to payment thereof.</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iii.If and to the extent the Administrative Agent, any Credit Party, any Affected Person or any Borrower Indemnified Party shall be required, for any reason relating to any act or omission of any Integra Party or any Insolvency Event relating to any Integra Party, to pay over to any Person any amount received on its behalf hereunder, such amount shall be deemed not to have been so received but rather to have been retained by the Borrower and, accordingly, the Administrative Agent, such Credit Party, such Affected Person or such Borrower Indemnified Party, as the case may be, shall have a claim against the Borrower for such amount.</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iv.For the purposes of this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1.If, on any day, the Outstanding Balance of any Pool Receivable is reduced or adjusted as a result of any defective, rejected, returned, repossessed or foreclosed goods or services, or any revision, cancellation, allowance, rebate, credit memo, discount or other adjustment made by the Borrower, any Originator, the Servicer or any Affiliate of the Servicer, or any setoff, counterclaim or dispute between the Borrower or any Affiliate of the Borrower, an Originator or any Affiliate of an Originator, or the Servicer or any Affiliate of the Servicer, and an Obligor, the Borrower shall be deemed to have received on such day a Collection of such Pool Receivable in the </w:t>
      </w:r>
      <w:r>
        <w:br w:type="page"/>
      </w: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2100"/>
                <wp:effectExtent l="0" t="0" r="0" b="0"/>
                <wp:wrapNone/>
                <wp:docPr id="99" name="Frame9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amount of such reduction or adjustment and shall immediately pay any and all such amounts in respect thereof to a Collection Account (or as otherwise directed by the Administrative Agent at such time) for the benefit of the Credit Parties for application pursuant to </w:t>
      </w:r>
      <w:r>
        <w:rPr>
          <w:rFonts w:ascii="Times New Roman;sans-serif" w:hAnsi="Times New Roman;sans-serif"/>
          <w:b w:val="false"/>
          <w:color w:val="000000"/>
          <w:sz w:val="24"/>
          <w:u w:val="single"/>
        </w:rPr>
        <w:t>Section 3.01(a)</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2.if on any day any of the representations or warranties in </w:t>
      </w:r>
      <w:r>
        <w:rPr>
          <w:rFonts w:ascii="Times New Roman;sans-serif" w:hAnsi="Times New Roman;sans-serif"/>
          <w:b w:val="false"/>
          <w:color w:val="000000"/>
          <w:sz w:val="24"/>
          <w:u w:val="single"/>
        </w:rPr>
        <w:t>Section 6.01(o)</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Section 6.01(w)</w:t>
      </w:r>
      <w:r>
        <w:rPr>
          <w:color w:val="000000"/>
        </w:rPr>
        <w:t xml:space="preserve"> </w:t>
      </w:r>
      <w:r>
        <w:rPr>
          <w:rFonts w:ascii="Times New Roman;sans-serif" w:hAnsi="Times New Roman;sans-serif"/>
          <w:b w:val="false"/>
          <w:color w:val="000000"/>
          <w:sz w:val="24"/>
        </w:rPr>
        <w:t xml:space="preserve">is not true with respect to any Pool Receivable, the Borrower shall be deemed to have received on such day a Collection of such Pool Receivable in full and shall immediately pay the amount of such deemed Collection to a Collection Account (or as otherwise directed by the Administrative Agent at such time) for the benefit of the Credit Parties for application pursuant to </w:t>
      </w:r>
      <w:r>
        <w:rPr>
          <w:rFonts w:ascii="Times New Roman;sans-serif" w:hAnsi="Times New Roman;sans-serif"/>
          <w:b w:val="false"/>
          <w:color w:val="000000"/>
          <w:sz w:val="24"/>
          <w:u w:val="single"/>
        </w:rPr>
        <w:t>Section 3.01(a)</w:t>
      </w:r>
      <w:r>
        <w:rPr>
          <w:color w:val="000000"/>
        </w:rPr>
        <w:t xml:space="preserve"> </w:t>
      </w:r>
      <w:r>
        <w:rPr>
          <w:rFonts w:ascii="Times New Roman;sans-serif" w:hAnsi="Times New Roman;sans-serif"/>
          <w:b w:val="false"/>
          <w:color w:val="000000"/>
          <w:sz w:val="24"/>
        </w:rPr>
        <w:t xml:space="preserve">(Collections deemed to have been received pursuant this </w:t>
      </w:r>
      <w:r>
        <w:rPr>
          <w:rFonts w:ascii="Times New Roman;sans-serif" w:hAnsi="Times New Roman;sans-serif"/>
          <w:b w:val="false"/>
          <w:color w:val="000000"/>
          <w:sz w:val="24"/>
          <w:u w:val="single"/>
        </w:rPr>
        <w:t>Section 3.01(d)</w:t>
      </w:r>
      <w:r>
        <w:rPr>
          <w:color w:val="000000"/>
        </w:rPr>
        <w:t xml:space="preserve"> </w:t>
      </w:r>
      <w:r>
        <w:rPr>
          <w:rFonts w:ascii="Times New Roman;sans-serif" w:hAnsi="Times New Roman;sans-serif"/>
          <w:b w:val="false"/>
          <w:color w:val="000000"/>
          <w:sz w:val="24"/>
        </w:rPr>
        <w:t>are hereinafter sometimes referred to as “</w:t>
      </w:r>
      <w:r>
        <w:rPr>
          <w:rFonts w:ascii="Times New Roman;sans-serif" w:hAnsi="Times New Roman;sans-serif"/>
          <w:b w:val="false"/>
          <w:color w:val="000000"/>
          <w:sz w:val="24"/>
          <w:u w:val="single"/>
        </w:rPr>
        <w:t>Deemed Collections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3.except as provided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above or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4.if and to the extent the Administrative Agent, any Credit Party, any Affected Person or any Borrower Indemnified Party shall be required for any reason to pay over to an Obligor (or any trustee, receiver, custodian or similar official in any Insolvency Proceeding) any amount received by it hereunder, such amount shall be deemed not to have been so received by such Person but rather to have been retained by the Borrower and, accordingly, such Person shall have a claim against the Borrower for such amount, payable when and to the extent that any distribution from or on behalf of such Obligor is made in respect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Payments and Computations, Etc. </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i.All amounts to be paid by the Borrower or the Servicer to the Administrative Agent, any Credit Party, any Affected Person or any Borrower Indemnified Party hereunder shall be paid no later than noon (12:00 p.m.) (New York City time) on the day when due in same day funds to the applicable Group Agent’s Account.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ii.Each of the Borrower and the Servicer shall, to the extent permitted by Applicable Law, pay interest on any amount not paid or deposited by it when due hereunder, at an interest rate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equal to 2.50%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 xml:space="preserve">above the Base Rate, payable on demand. </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iii.All computations of interest under </w:t>
      </w:r>
      <w:r>
        <w:rPr>
          <w:rFonts w:ascii="Times New Roman;sans-serif" w:hAnsi="Times New Roman;sans-serif"/>
          <w:b w:val="false"/>
          <w:color w:val="000000"/>
          <w:sz w:val="24"/>
          <w:u w:val="single"/>
        </w:rPr>
        <w:t>subsection (b)</w:t>
      </w:r>
      <w:r>
        <w:rPr>
          <w:color w:val="000000"/>
        </w:rPr>
        <w:t xml:space="preserve"> </w:t>
      </w:r>
      <w:r>
        <w:rPr>
          <w:rFonts w:ascii="Times New Roman;sans-serif" w:hAnsi="Times New Roman;sans-serif"/>
          <w:b w:val="false"/>
          <w:color w:val="000000"/>
          <w:sz w:val="24"/>
        </w:rPr>
        <w:t>above and all computations of Interest, Fees and other amounts hereunder shall be made on the basis of a year of 360 days (or, in the case of amounts determined by reference to the Base Rate, 365 or 366 days, as applicable) for the actual number of days (including the first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pStyle w:val="TextBody"/>
        <w:spacing w:lineRule="auto" w:line="240" w:before="0" w:after="240"/>
        <w:jc w:val="center"/>
        <w:rPr/>
      </w:pPr>
      <w:r>
        <w:rPr>
          <w:rFonts w:ascii="Times New Roman;sans-serif" w:hAnsi="Times New Roman;sans-serif"/>
          <w:b/>
          <w:color w:val="000000"/>
          <w:sz w:val="24"/>
        </w:rPr>
        <w:t>ARTICLE 4</w:t>
      </w:r>
      <w:r>
        <w:rPr>
          <w:rFonts w:ascii="Times New Roman;sans-serif" w:hAnsi="Times New Roman;sans-serif"/>
          <w:b/>
          <w:color w:val="000000"/>
          <w:sz w:val="24"/>
        </w:rPr>
        <w:br/>
        <w:br/>
        <w:t>INCREASED COSTS; FUNDING LOSSES; TAXES; ILLEGALITY AND SECURITY INTEREST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Increased Costs.</w:t>
      </w:r>
      <w:r>
        <w:br w:type="page"/>
      </w:r>
    </w:p>
    <w:p>
      <w:pPr>
        <w:pStyle w:val="TextBody"/>
        <w:spacing w:before="0" w:after="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2100"/>
                <wp:effectExtent l="0" t="0" r="0" b="0"/>
                <wp:wrapNone/>
                <wp:docPr id="100" name="Frame10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Increased Costs Generally</w:t>
      </w:r>
      <w:r>
        <w:rPr>
          <w:rFonts w:ascii="Times New Roman;sans-serif" w:hAnsi="Times New Roman;sans-serif"/>
          <w:b w:val="false"/>
          <w:color w:val="000000"/>
          <w:sz w:val="24"/>
        </w:rPr>
        <w:t>. If any Change in Law shall:</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1.impose, modify or deem applicable any reserve, special deposit, compulsory loan, insurance charge or similar requirement against assets of, deposits with or for the account of, or credit extended or participated in by, any Affected Person;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2.subject any Affected Person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 or</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3.impose on any Affected Person any other condition, cost or expense (other than Taxes) (A) affecting the Collateral, this Agreement, any other Transaction Document, any Program Support Agreement, any Loan or (B) affecting its obligations or rights to make Loans;</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and the result of any of the foregoing shall be to increase the cost to such Affected Person of making, converting to, continuing or maintaining any Loan or of maintaining its obligation to make any such Loan, or to increase the cost to such Affected Person of participating in, converting to, continuing or maintaining any Loan, or to reduce the amount of any sum received or receivable by such Affected Person hereunder (whether of principal, interest or any other amount) then, upon request of such Affected Person, the Borrower will pay to such Affected Person, as the case may be, such additional amount or amounts as will compensate such Affected Person, as the case may be, for such additional costs incurred or reduction suffered;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Capital and Liquidity Requirements</w:t>
      </w:r>
      <w:r>
        <w:rPr>
          <w:rFonts w:ascii="Times New Roman;sans-serif" w:hAnsi="Times New Roman;sans-serif"/>
          <w:b w:val="false"/>
          <w:color w:val="000000"/>
          <w:sz w:val="24"/>
        </w:rPr>
        <w:t>. If any Affected Person determines that any Change in Law affecting such Affected Person or any lending office of such Affected Person or such Affected Person’s holding company, if any, regarding capital or liquidity requirements, has or would have the effect of (x) increasing the amount of capital required to be maintained by such Affected Person or Affected Person’s holding company, if any, (y) reducing the rate of return on such Affected Person’s capital or on the capital of such Affected Person’s holding company, if any, or (z) causing an internal capital or liquidity charge or other imputed cost to be assessed upon such Affected Person or Affected Person’s holding company, if any, in each case, as a consequence of (A) this Agreement or any other Transaction Document, (B) the commitments of such Affected Person hereunder or under any other Transaction Document or related Program Support Agreement, (C) the Loans made by such Affected Person or (D) any Capital (or portion thereof), to a level below that which such Affected Person or such Affected Person’s holding company could have achieved but for such Change in Law (taking into consideration such Affected Person’s policies and the policies of such Affected Person’s holding company with respect to capital adequacy and liquidity), then from time to time, upon request of such Affected Person (or its Group Agent), the Borrower will pay to such Affected Person such additional amount or amounts as will compensate such Affected Person or such Affected Person’s holding company for any such increase, reduction or charge.</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Adoption of Changes in Law</w:t>
      </w:r>
      <w:r>
        <w:rPr>
          <w:rFonts w:ascii="Times New Roman;sans-serif" w:hAnsi="Times New Roman;sans-serif"/>
          <w:b w:val="false"/>
          <w:color w:val="000000"/>
          <w:sz w:val="24"/>
        </w:rPr>
        <w:t xml:space="preserve">. The Borrower acknowledges that any Affected Person may institute measures in anticipation of a Change in Law (including, without limitation, the imposition of internal charges on such Affected Person’s interests or obligations under any Transaction Document or Program Support Agreement), and may commence allocating charges to or seeking compensation from the Borrower under this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in connection with such </w:t>
      </w:r>
      <w:r>
        <w:br w:type="page"/>
      </w:r>
    </w:p>
    <w:p>
      <w:pPr>
        <w:pStyle w:val="TextBody"/>
        <w:spacing w:before="0" w:after="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2100"/>
                <wp:effectExtent l="0" t="0" r="0" b="0"/>
                <wp:wrapNone/>
                <wp:docPr id="101" name="Frame10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measures, in advance of the effective date of such Change in Law, and the Borrower agrees to pay such charges or compensation to such Affected Person, following demand therefor in accordance with the terms of this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without regard to whether such effective date has occurred.</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Certificates for Reimbursement</w:t>
      </w:r>
      <w:r>
        <w:rPr>
          <w:rFonts w:ascii="Times New Roman;sans-serif" w:hAnsi="Times New Roman;sans-serif"/>
          <w:b w:val="false"/>
          <w:color w:val="000000"/>
          <w:sz w:val="24"/>
        </w:rPr>
        <w:t xml:space="preserve">. A certificate of an Affected Person (or its Group Agent on its behalf) setting forth the amount or amounts necessary to compensate such Affected Person or its holding company, as the case may be, as specified in </w:t>
      </w:r>
      <w:r>
        <w:rPr>
          <w:rFonts w:ascii="Times New Roman;sans-serif" w:hAnsi="Times New Roman;sans-serif"/>
          <w:b w:val="false"/>
          <w:color w:val="000000"/>
          <w:sz w:val="24"/>
          <w:u w:val="single"/>
        </w:rPr>
        <w:t>clause (a)</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(c)</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and delivered to the Borrower, shall be conclusive absent manifest error. The Borrower shall, subject to the priorities of payment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pay such Affected Person the amount shown as due on any such certificate on the first Settlement Date occurring after the Borrower’s receipt of such certificate.</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Delay in Requests</w:t>
      </w:r>
      <w:r>
        <w:rPr>
          <w:rFonts w:ascii="Times New Roman;sans-serif" w:hAnsi="Times New Roman;sans-serif"/>
          <w:b w:val="false"/>
          <w:color w:val="000000"/>
          <w:sz w:val="24"/>
        </w:rPr>
        <w:t xml:space="preserve">. Failure or delay on the part of any Affected Person to demand compensation pursuant to this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shall not constitute a waiver of such Affected Person’s right to demand such compensation.</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Replacement of Lenders</w:t>
      </w:r>
      <w:r>
        <w:rPr>
          <w:rFonts w:ascii="Times New Roman;sans-serif" w:hAnsi="Times New Roman;sans-serif"/>
          <w:b w:val="false"/>
          <w:color w:val="000000"/>
          <w:sz w:val="24"/>
        </w:rPr>
        <w:t xml:space="preserve">. If any Lender requests compensation under this Section 4.01, or if the Borrower is required to pay any additional amount to any Lender or any Governmental Authority for the account of any Lender pursuant to Section 4.03, the Borrower may replace such Lender in accordance with </w:t>
      </w:r>
      <w:r>
        <w:rPr>
          <w:rFonts w:ascii="Times New Roman;sans-serif" w:hAnsi="Times New Roman;sans-serif"/>
          <w:b w:val="false"/>
          <w:color w:val="000000"/>
          <w:sz w:val="24"/>
          <w:u w:val="single"/>
        </w:rPr>
        <w:t>Section 13.03(j)</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Funding Losses.</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i.The Borrower will pay each Lender its ratable portion of Breakage Fees in accordance herewith.</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ii.A certificate of a Lender (or its Group Agent on its behalf) setting forth the amount or amounts necessary to compensate such Lender, as specified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above and delivered to the Borrower, shall be conclusive absent manifest error. The Borrower shall, subject to the priorities of payment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pay such Lender the amount shown as due on any such certificate on the first Settlement Date occurring after the Borrower’s receipt of such certificate.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Taxes.</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Payments Free of Taxes</w:t>
      </w:r>
      <w:r>
        <w:rPr>
          <w:rFonts w:ascii="Times New Roman;sans-serif" w:hAnsi="Times New Roman;sans-serif"/>
          <w:b w:val="false"/>
          <w:color w:val="000000"/>
          <w:sz w:val="24"/>
        </w:rPr>
        <w:t>. Any and all payments by or on account of any obligation of the Borrower under any Transaction Document shall be made without deduction or withholding for any Taxes, except as required by Applicable Law. If any Applicable Law (as determined in the good faith discretion of the applicable Credit Party, Affected Person or Borrower Indemnified Party) requires the deduction or withholding of any Tax from any such payment by a Credit Party, Affected Person or Borrower Indemnified Party, then the applicable Credit Party, Affected Person or Borrower Indemnified Party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the applicable Credit Party, Affected Person or Borrower Indemnified Party receives an amount equal to the sum it would have received had no such deduction or withholding been made.</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Payment of Other Taxes by the Borrower</w:t>
      </w:r>
      <w:r>
        <w:rPr>
          <w:rFonts w:ascii="Times New Roman;sans-serif" w:hAnsi="Times New Roman;sans-serif"/>
          <w:b w:val="false"/>
          <w:color w:val="000000"/>
          <w:sz w:val="24"/>
        </w:rPr>
        <w:t>. The Borrower shall timely pay to the relevant Governmental Authority in accordance with Applicable Law, or, at the option of the Administrative Agent, timely reimburse it for the payment of, any Other Taxes.</w:t>
      </w:r>
      <w:r>
        <w:br w:type="page"/>
      </w:r>
    </w:p>
    <w:p>
      <w:pPr>
        <w:pStyle w:val="TextBody"/>
        <w:spacing w:before="0" w:after="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2100"/>
                <wp:effectExtent l="0" t="0" r="0" b="0"/>
                <wp:wrapNone/>
                <wp:docPr id="102" name="Frame10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Indemnification by the Borrower</w:t>
      </w:r>
      <w:r>
        <w:rPr>
          <w:rFonts w:ascii="Times New Roman;sans-serif" w:hAnsi="Times New Roman;sans-serif"/>
          <w:b w:val="false"/>
          <w:color w:val="000000"/>
          <w:sz w:val="24"/>
        </w:rPr>
        <w:t>. The Borrower shall indemnify each Affected Person, within ten (10) calendar days after demand therefor, for the full amount of any Indemnified Taxes (including Indemnified Taxes imposed or asserted on or attributable to amounts payable under this Section) payable or paid by such Affected Person or required to be withheld or deducted from a payment to such Affected Person and any penalties, interest and reasonable expenses arising therefrom or with respect thereto, whether or not such Indemnified Taxes were correctly or legally imposed or asserted by the relevant Governmental Authority and a certificate as to the amount of such payment or liability, as well as the payee and other information necessary for the Borrower to make such payment, delivered to the Borrower by an Affected Person (with a copy to the Administrative Agent), or by the Administrative Agent on its own behalf or on behalf of an Affected Person, shall be conclusive absent manifest error.</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Indemnification by the Lenders</w:t>
      </w:r>
      <w:r>
        <w:rPr>
          <w:rFonts w:ascii="Times New Roman;sans-serif" w:hAnsi="Times New Roman;sans-serif"/>
          <w:b w:val="false"/>
          <w:color w:val="000000"/>
          <w:sz w:val="24"/>
        </w:rPr>
        <w:t xml:space="preserve">. Each Lender (other than the Conduit Lenders) shall severally indemnify the Administrative Agent, within ten (10) calendar days after demand therefor, for (i) any Indemnified Taxes attributable to such Lender, its Related Conduit Lender or any of their respective Affiliates that are Affected Persons (but only to the extent that the Borrower and its Affiliates have not already indemnified the Administrative Agent for such Indemnified Taxes and without limiting any obligation of the Borrower, the Servicer or their Affiliates to do so), (ii) any Taxes attributable to the failure of such Lender, its Related Conduit Lender or any of their respective Affiliates that are Affected Persons to comply with </w:t>
      </w:r>
      <w:r>
        <w:rPr>
          <w:rFonts w:ascii="Times New Roman;sans-serif" w:hAnsi="Times New Roman;sans-serif"/>
          <w:b w:val="false"/>
          <w:color w:val="000000"/>
          <w:sz w:val="24"/>
          <w:u w:val="single"/>
        </w:rPr>
        <w:t>Section 13.03(f)</w:t>
      </w:r>
      <w:r>
        <w:rPr>
          <w:color w:val="000000"/>
        </w:rPr>
        <w:t xml:space="preserve"> </w:t>
      </w:r>
      <w:r>
        <w:rPr>
          <w:rFonts w:ascii="Times New Roman;sans-serif" w:hAnsi="Times New Roman;sans-serif"/>
          <w:b w:val="false"/>
          <w:color w:val="000000"/>
          <w:sz w:val="24"/>
        </w:rPr>
        <w:t xml:space="preserve">relating to the maintenance of a Participant Register and (iii) any Excluded Taxes attributable to such Lender, its Related Conduit Lender or any of their respective Affiliates that are Affected Persons, in each case, that are payable or paid by the Administrative Agent in connection with any Transaction Document, and any reasonable expenses arising therefrom or with respect thereto, whether or not such Taxes were correctly or legally imposed or asserted by the relevant Governmental Authority. A certificate as to the amount of such payment or liability delivered to any Lender (or its Group Agent) by the Administrative Agent shall be conclusive absent manifest error. Each Lender (other than the Conduit Lenders) hereby authorizes the Administrative Agent to set off and apply any and all amounts at any time owing to such Lender, its Related Conduit Lender or any of their respective Affiliates that are Affected Persons under any Transaction Document or otherwise payable by the Administrative Agent to such Lender, its Related Conduit Lender or any of their respective Affiliates that are Affected Persons from any other source against any amount due to the Administrative Agent under this </w:t>
      </w:r>
      <w:r>
        <w:rPr>
          <w:rFonts w:ascii="Times New Roman;sans-serif" w:hAnsi="Times New Roman;sans-serif"/>
          <w:b w:val="false"/>
          <w:color w:val="000000"/>
          <w:sz w:val="24"/>
          <w:u w:val="single"/>
        </w:rPr>
        <w:t>clause (d)</w:t>
      </w:r>
      <w:r>
        <w:rPr>
          <w:rFonts w:ascii="Times New Roman;sans-serif" w:hAnsi="Times New Roman;sans-serif"/>
          <w:b w:val="false"/>
          <w:color w:val="000000"/>
          <w:sz w:val="24"/>
        </w:rPr>
        <w:t>.</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Evidence of Payments</w:t>
      </w:r>
      <w:r>
        <w:rPr>
          <w:rFonts w:ascii="Times New Roman;sans-serif" w:hAnsi="Times New Roman;sans-serif"/>
          <w:b w:val="false"/>
          <w:color w:val="000000"/>
          <w:sz w:val="24"/>
        </w:rPr>
        <w:t xml:space="preserve">. As soon as practicable after any payment of Taxes by the Borrower to a Governmental Authority pursuant to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Status of Affected Persons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1.Any Affected Person that is entitled to an exemption from or reduction of withholding Tax with respect to payments made under any Transaction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Affected Person,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Affected Person is subject to backup withholding or information reporting requirements. Notwithstanding anything to the contrary in the </w:t>
      </w:r>
      <w:r>
        <w:br w:type="page"/>
      </w:r>
    </w:p>
    <w:p>
      <w:pPr>
        <w:pStyle w:val="TextBody"/>
        <w:spacing w:before="0" w:after="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2100"/>
                <wp:effectExtent l="0" t="0" r="0" b="0"/>
                <wp:wrapNone/>
                <wp:docPr id="103" name="Frame10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preceding two sentences, the completion, execution and submission of such documentation (other than such documentation set forth in </w:t>
      </w:r>
      <w:r>
        <w:rPr>
          <w:rFonts w:ascii="Times New Roman;sans-serif" w:hAnsi="Times New Roman;sans-serif"/>
          <w:b w:val="false"/>
          <w:color w:val="000000"/>
          <w:sz w:val="24"/>
          <w:u w:val="single"/>
        </w:rPr>
        <w:t>Sections 4.03(f)(ii)(A)</w:t>
      </w:r>
      <w:r>
        <w:rPr>
          <w:rFonts w:ascii="Times New Roman;sans-serif" w:hAnsi="Times New Roman;sans-serif"/>
          <w:b w:val="false"/>
          <w:color w:val="000000"/>
          <w:sz w:val="24"/>
        </w:rPr>
        <w:t>, 4</w:t>
      </w:r>
      <w:r>
        <w:rPr>
          <w:rFonts w:ascii="Times New Roman;sans-serif" w:hAnsi="Times New Roman;sans-serif"/>
          <w:b w:val="false"/>
          <w:color w:val="000000"/>
          <w:sz w:val="24"/>
          <w:u w:val="single"/>
        </w:rPr>
        <w:t>.03(f)(ii)(B)</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4.03(g)</w:t>
      </w:r>
      <w:r>
        <w:rPr>
          <w:rFonts w:ascii="Times New Roman;sans-serif" w:hAnsi="Times New Roman;sans-serif"/>
          <w:b w:val="false"/>
          <w:color w:val="000000"/>
          <w:sz w:val="24"/>
        </w:rPr>
        <w:t>) shall not be required if, in the Affected Person’s reasonable judgment, such completion, execution or submission would subject such Affected Person to any material unreimbursed cost or expense or would materially prejudice the legal or commercial position of such Affected Person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2.Without limiting the generality of the foregoing:</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 Affected Person that is a U.S. Person shall deliver to the Borrower and the Administrative Agent on or prior to the date on which such Affected Person becomes a party to this Agreement and from time to time thereafter upon the reasonable request of the Borrower or the Administrative Agent, executed originals of Internal Revenue Service Form W-9 certifying that such Affected Person is exempt from U.S. federal backup withholding tax;</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Affected Person that is not a U.S. Person shall, to the extent it is legally entitled to do so, deliver to the Borrower and the Administrative Agent (in such number of copies as shall be requested by the recipient) on or prior to the date on which such Affected Person becomes a party to this Agreement and from time to time thereafter upon the reasonable request of the Borrower or the Administrative Agent, whichever of the following is applicable:</w:t>
      </w:r>
    </w:p>
    <w:p>
      <w:pPr>
        <w:pStyle w:val="TextBody"/>
        <w:spacing w:lineRule="auto" w:line="240" w:before="0" w:after="240"/>
        <w:ind w:left="0" w:right="0" w:firstLine="593"/>
        <w:jc w:val="both"/>
        <w:rPr>
          <w:rFonts w:ascii="Times New Roman;sans-serif" w:hAnsi="Times New Roman;sans-serif"/>
          <w:b w:val="false"/>
          <w:color w:val="000000"/>
          <w:sz w:val="24"/>
        </w:rPr>
      </w:pPr>
      <w:r>
        <w:rPr>
          <w:rFonts w:ascii="Times New Roman;sans-serif" w:hAnsi="Times New Roman;sans-serif"/>
          <w:b w:val="false"/>
          <w:color w:val="000000"/>
          <w:sz w:val="24"/>
        </w:rPr>
        <w:t>i.in the case of such an Affected Person claiming the benefits of an income tax treaty to which the United States is a party, (x) with respect to payments of interest under any Transaction Document, executed originals of Internal Revenue Service Form W-8BEN establishing an exemption from, or reduction of, U.S. federal withholding Tax pursuant to the “interest” article of such tax treaty and (y) with respect to any other applicable payments under any Transaction Document, Internal Revenue Service Form W-8BEN establishing an exemption from, or reduction of, U.S. federal withholding Tax pursuant to the “business profits” or “other income” article of such tax treaty;</w:t>
      </w:r>
    </w:p>
    <w:p>
      <w:pPr>
        <w:pStyle w:val="TextBody"/>
        <w:spacing w:lineRule="auto" w:line="240" w:before="0" w:after="240"/>
        <w:ind w:left="0" w:right="0" w:firstLine="527"/>
        <w:jc w:val="both"/>
        <w:rPr>
          <w:rFonts w:ascii="Times New Roman;sans-serif" w:hAnsi="Times New Roman;sans-serif"/>
          <w:b w:val="false"/>
          <w:color w:val="000000"/>
          <w:sz w:val="24"/>
        </w:rPr>
      </w:pPr>
      <w:r>
        <w:rPr>
          <w:rFonts w:ascii="Times New Roman;sans-serif" w:hAnsi="Times New Roman;sans-serif"/>
          <w:b w:val="false"/>
          <w:color w:val="000000"/>
          <w:sz w:val="24"/>
        </w:rPr>
        <w:t>ii.executed originals of Internal Revenue Service Form W-8ECI;</w:t>
      </w:r>
    </w:p>
    <w:p>
      <w:pPr>
        <w:pStyle w:val="TextBody"/>
        <w:spacing w:lineRule="auto" w:line="240" w:before="0" w:after="240"/>
        <w:ind w:left="0" w:right="0" w:firstLine="460"/>
        <w:jc w:val="both"/>
        <w:rPr/>
      </w:pPr>
      <w:r>
        <w:rPr>
          <w:rFonts w:ascii="Times New Roman;sans-serif" w:hAnsi="Times New Roman;sans-serif"/>
          <w:b w:val="false"/>
          <w:color w:val="000000"/>
          <w:sz w:val="24"/>
        </w:rPr>
        <w:t>iii.in the case of such an Affected Person claiming the benefits of the exemption for portfolio interest under Section 881(c) of the Code, (x) a certificate to the effect that such Affected Person is not a “bank” within the meaning of Section 881(c)(3)(A) of the Code, a “10 percent shareholder” of the Borrower within the meaning of Section 881(c)(3)(B) of the Code, or a “controlled foreign corporation” described in Section 881(c)(3)(C) of the Code (a “</w:t>
      </w:r>
      <w:r>
        <w:rPr>
          <w:rFonts w:ascii="Times New Roman;sans-serif" w:hAnsi="Times New Roman;sans-serif"/>
          <w:b w:val="false"/>
          <w:color w:val="000000"/>
          <w:sz w:val="24"/>
          <w:u w:val="single"/>
        </w:rPr>
        <w:t>U.S. Tax Compliance Certificate</w:t>
      </w:r>
      <w:r>
        <w:rPr>
          <w:color w:val="000000"/>
        </w:rPr>
        <w:t>”</w:t>
      </w:r>
      <w:r>
        <w:rPr>
          <w:rFonts w:ascii="Times New Roman;sans-serif" w:hAnsi="Times New Roman;sans-serif"/>
          <w:b w:val="false"/>
          <w:color w:val="000000"/>
          <w:sz w:val="24"/>
        </w:rPr>
        <w:t>) and (y) executed originals of Internal Revenue Service Form W-8BEN; or</w:t>
      </w:r>
    </w:p>
    <w:p>
      <w:pPr>
        <w:pStyle w:val="TextBody"/>
        <w:spacing w:lineRule="auto" w:line="240" w:before="0" w:after="240"/>
        <w:ind w:left="0" w:right="0" w:firstLine="47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iv.to the extent such Affected Person is not the beneficial owner, executed originals of Internal Revenue Service Form W-8IMY, accompanied by Internal Revenue Service Form W-8ECI, Internal Revenue Service Form W-8BEN, a U.S. Tax </w:t>
      </w:r>
      <w:r>
        <w:br w:type="page"/>
      </w: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2100"/>
                <wp:effectExtent l="0" t="0" r="0" b="0"/>
                <wp:wrapNone/>
                <wp:docPr id="104" name="Frame10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Compliance Certificate, Internal Revenue Service Form W-9, and/or other certification documents from each beneficial owner, as applicable;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such Affected Person is a partnership and one or more direct or indirect partners of such Affected Person are claiming the portfolio interest exemption, such Affected Person may provide a U.S. Tax Compliance Certificate on behalf of each such direct and indirect partner;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Affected Person that is not a U.S. Person shall, to the extent it is legally entitled to do so, deliver to the Borrower and the Administrative Agent (in such number of copies as shall be requested by the recipient) on or prior to the date on which such Affected Person becomes a party to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Documentation Required by FATCA</w:t>
      </w:r>
      <w:r>
        <w:rPr>
          <w:rFonts w:ascii="Times New Roman;sans-serif" w:hAnsi="Times New Roman;sans-serif"/>
          <w:b w:val="false"/>
          <w:color w:val="000000"/>
          <w:sz w:val="24"/>
        </w:rPr>
        <w:t xml:space="preserve">. If a payment made to an Affected Person under any Transaction Document would be subject to U.S. federal withholding Tax imposed by FATCA if such Affected Person were to fail to comply with the applicable reporting requirements of FATCA (including those contained in Section 1471(b) or 1472(b) of the Code, as applicable), such Affected Person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Affected Person has complied with such Affected Person’s obligations under FATCA or to determine the amount to deduct and withhold from such payment. Solely for purposes of this </w:t>
      </w:r>
      <w:r>
        <w:rPr>
          <w:rFonts w:ascii="Times New Roman;sans-serif" w:hAnsi="Times New Roman;sans-serif"/>
          <w:b w:val="false"/>
          <w:color w:val="000000"/>
          <w:sz w:val="24"/>
          <w:u w:val="single"/>
        </w:rPr>
        <w:t>clause (g)</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FATCA</w:t>
      </w:r>
      <w:r>
        <w:rPr>
          <w:color w:val="000000"/>
        </w:rPr>
        <w:t xml:space="preserve">” </w:t>
      </w:r>
      <w:r>
        <w:rPr>
          <w:rFonts w:ascii="Times New Roman;sans-serif" w:hAnsi="Times New Roman;sans-serif"/>
          <w:b w:val="false"/>
          <w:color w:val="000000"/>
          <w:sz w:val="24"/>
        </w:rPr>
        <w:t>shall include any amendments made to FATCA after the date of this Agreement and any fiscal or regulatory legislation, rules or practices adopted pursuant to any intergovernmental agreement entered into in connection with FATCA.</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Each party’s obligations under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shall survive the resignation or replacement of the Administrative Agent or any assignment of rights by, or the replacement of, a Credit Party or any other Affected person, the termination of the Commitments and the repayment, satisfaction or discharge of all the Borrower Obligations and the Servicer’s obligations hereunder.</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Updates</w:t>
      </w:r>
      <w:r>
        <w:rPr>
          <w:rFonts w:ascii="Times New Roman;sans-serif" w:hAnsi="Times New Roman;sans-serif"/>
          <w:b w:val="false"/>
          <w:color w:val="000000"/>
          <w:sz w:val="24"/>
        </w:rPr>
        <w:t xml:space="preserve">. Each Affected Person agrees that if any form or certification it previously delivered pursuant to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expires or becomes obsolete or inaccurate in any respect, it shall update such form or certification or promptly notify the Borrower and the Administrative Agent in writing of its legal inability to do so.</w:t>
      </w:r>
    </w:p>
    <w:p>
      <w:pPr>
        <w:pStyle w:val="TextBody"/>
        <w:spacing w:lineRule="auto" w:line="240" w:before="0" w:after="240"/>
        <w:ind w:left="0" w:right="0" w:firstLine="1260"/>
        <w:jc w:val="both"/>
        <w:rPr/>
      </w:pPr>
      <w:r>
        <w:rPr>
          <w:rFonts w:ascii="Times New Roman;sans-serif" w:hAnsi="Times New Roman;sans-serif"/>
          <w:b w:val="false"/>
          <w:color w:val="000000"/>
          <w:sz w:val="24"/>
        </w:rPr>
        <w:t xml:space="preserve">x.If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(including by the payment of additional amounts pursuant to this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with respect to the Taxes giving rise to such refund), net </w:t>
      </w:r>
      <w:r>
        <w:br w:type="page"/>
      </w: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2100"/>
                <wp:effectExtent l="0" t="0" r="0" b="0"/>
                <wp:wrapNone/>
                <wp:docPr id="105" name="Frame10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4"/>
          <w:u w:val="single"/>
        </w:rPr>
        <w:t>clause (j)</w:t>
      </w:r>
      <w:r>
        <w:rPr>
          <w:color w:val="000000"/>
        </w:rPr>
        <w:t xml:space="preserve"> </w:t>
      </w:r>
      <w:r>
        <w:rPr>
          <w:rFonts w:ascii="Times New Roman;sans-serif" w:hAnsi="Times New Roman;sans-serif"/>
          <w:b w:val="false"/>
          <w:color w:val="000000"/>
          <w:sz w:val="24"/>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4"/>
          <w:u w:val="single"/>
        </w:rPr>
        <w:t>clause (j)</w:t>
      </w:r>
      <w:r>
        <w:rPr>
          <w:rFonts w:ascii="Times New Roman;sans-serif" w:hAnsi="Times New Roman;sans-serif"/>
          <w:b w:val="false"/>
          <w:color w:val="000000"/>
          <w:sz w:val="24"/>
        </w:rPr>
        <w:t xml:space="preserve">, in no event will the indemnified party be required to pay any amount to an indemnifying party pursuant to this </w:t>
      </w:r>
      <w:r>
        <w:rPr>
          <w:rFonts w:ascii="Times New Roman;sans-serif" w:hAnsi="Times New Roman;sans-serif"/>
          <w:b w:val="false"/>
          <w:color w:val="000000"/>
          <w:sz w:val="24"/>
          <w:u w:val="single"/>
        </w:rPr>
        <w:t>clause (j)</w:t>
      </w:r>
      <w:r>
        <w:rPr>
          <w:color w:val="000000"/>
        </w:rPr>
        <w:t xml:space="preserve"> </w:t>
      </w:r>
      <w:r>
        <w:rPr>
          <w:rFonts w:ascii="Times New Roman;sans-serif" w:hAnsi="Times New Roman;sans-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Conforming Changes Relating to Term SOFR or Daily 1M SOFR. With respect to Term SOFR or Daily 1M SOFR,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Administrative Agent shall provide notice to the Borrower and the Lenders of each such amendment implementing such Conforming Changes reasonably promptly after such amendment becomes effective.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Security Interest.</w:t>
      </w:r>
    </w:p>
    <w:p>
      <w:pPr>
        <w:pStyle w:val="TextBody"/>
        <w:spacing w:lineRule="auto" w:line="240" w:before="0" w:after="240"/>
        <w:ind w:left="0" w:right="0" w:firstLine="1313"/>
        <w:jc w:val="both"/>
        <w:rPr/>
      </w:pPr>
      <w:r>
        <w:rPr>
          <w:rFonts w:ascii="Times New Roman;sans-serif" w:hAnsi="Times New Roman;sans-serif"/>
          <w:b w:val="false"/>
          <w:color w:val="000000"/>
          <w:sz w:val="24"/>
        </w:rPr>
        <w:t>i.As security for the performance by the Borrower of all the terms, covenants and agreements on the part of the Borrower to be performed under this Agreement or any other Transaction Document, including the punctual payment when due of the Aggregate Capital and all Interest in respect of the Loans and all other Borrower Obligations, the Borrower hereby grants to the Administrative Agent for its benefit and the ratable benefit of the Secured Parties, a valid, continuing and perfected first priority security interest in, all of the Borrower’s right, title and interest in, to and under all of the following, whether now or hereafter owned, existing or arising (collectively, the “</w:t>
      </w:r>
      <w:r>
        <w:rPr>
          <w:rFonts w:ascii="Times New Roman;sans-serif" w:hAnsi="Times New Roman;sans-serif"/>
          <w:b w:val="false"/>
          <w:color w:val="000000"/>
          <w:sz w:val="24"/>
          <w:u w:val="single"/>
        </w:rPr>
        <w:t>Collateral</w:t>
      </w:r>
      <w:r>
        <w:rPr>
          <w:color w:val="000000"/>
        </w:rPr>
        <w:t>”</w:t>
      </w:r>
      <w:r>
        <w:rPr>
          <w:rFonts w:ascii="Times New Roman;sans-serif" w:hAnsi="Times New Roman;sans-serif"/>
          <w:b w:val="false"/>
          <w:color w:val="000000"/>
          <w:sz w:val="24"/>
        </w:rPr>
        <w:t>): (i) all Pool Receivables, (ii) all Related Security with respect to such Pool Receivables, (iii) all Collections with respect to such Pool Receivables, (iv) the Lock-Boxes and Collection Accounts and all amounts on deposit therein, and all certificates and instruments, if any, from time to time evidencing such Lock-Boxes and Collection Accounts and amounts on deposit therein, (v) all rights (but none of the obligations) of the Borrower under the Purchase and Sale Agreement, (vi) all other personal and fixture property or assets of the Borrower of every kind and nature including, without limitation, all goods (including inventory, equipment and any accessions thereto), instruments (including promissory notes), documents, accounts, chattel paper (whether tangible or electronic), deposit accounts, securities accounts, securities entitlements, letter of credit rights, commercial tort claims, securities and all other investment property, supporting obligations, money, any other contract rights or rights to the payment of money, insurance claims and proceeds, and all general intangibles (including all payment intangibles) (each as defined in the UCC) and (vii) all proceeds of, and all amounts received or receivable under any or all of, the foregoing.</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ii.The Administrative Agent (for the benefit of the Secured Parties) shall have, with respect to all the Collateral, and in addition to all the other rights and remedies available to the Administrative Agent (for the benefit of the Secured Parties), all the rights and remedies of a secured party under any applicable UCC. The Borrower hereby authorizes the Administrative Agent to file financing statements describing as the collateral covered thereby as “all of the </w:t>
      </w:r>
      <w:r>
        <w:br w:type="page"/>
      </w: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2100"/>
                <wp:effectExtent l="0" t="0" r="0" b="0"/>
                <wp:wrapNone/>
                <wp:docPr id="106" name="Frame10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debtor’s personal property or assets” or words to that effect, notwithstanding that such wording may be broader in scope than the collateral described in this Agreement.</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iii.Immediately upon the occurrence of the Final Payout Date, the Collateral shall be automatically released from the lien created hereby, and this Agreement and all obligations (other than those expressly stated to survive such termination) of the Administrative Agent, the Lenders and the other Credit Parties hereunder shall terminate, all without delivery of any instrument or performance of any act by any party, and all rights to the Collateral shall revert to the Borrower;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promptly following written request therefor by the Borrower delivered to the Administrative Agent following any such termination, and at the expense of the Borrower, the Administrative Agent shall execute (if applicable) and deliver to the Borrower UCC-3 termination statements and such other documents as the Borrower shall reasonably request to evidence such termination.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Rate Unascertainable; Illegality; Benchmark Replacement Setting.</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i/>
          <w:color w:val="000000"/>
          <w:sz w:val="24"/>
          <w:u w:val="single"/>
        </w:rPr>
        <w:t>Rate Unascertainable</w:t>
      </w:r>
      <w:r>
        <w:rPr>
          <w:rFonts w:ascii="Times New Roman;sans-serif" w:hAnsi="Times New Roman;sans-serif"/>
          <w:b w:val="false"/>
          <w:color w:val="000000"/>
          <w:sz w:val="24"/>
        </w:rPr>
        <w:t>. If at any time: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1.the Administrative Agent shall have determined (which determination shall be conclusive and binding absent manifest error) that the Term SOFR Rate or the Daily SOFR Rate, as applicable, cannot be determined pursuant to the definition thereof; 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Majority Group Agents determine that for any reason in connection with any request for a Term SOFR Rate Loan or a Daily SOFR Rate Loan or conversion thereto or continuation thereof that the Term SOFR Rate does not adequately and fairly reflect the cost to the Lenders of funding, establishing or maintaining such Term SOFR Rate Loan during the applicable Interest Period, or the Daily SOFR Rate does not adequately and fairly reflect the cost to the Lenders of funding, establishing or maintaining such Daily SOFR Rate Loan, as applicable, and the Majority Group Agents have provided notice of such determination to the Administrative Agent,</w:t>
      </w:r>
    </w:p>
    <w:p>
      <w:pPr>
        <w:pStyle w:val="TextBody"/>
        <w:spacing w:lineRule="auto" w:line="240" w:before="0" w:after="240"/>
        <w:jc w:val="both"/>
        <w:rPr/>
      </w:pPr>
      <w:r>
        <w:rPr>
          <w:rFonts w:ascii="Times New Roman;sans-serif" w:hAnsi="Times New Roman;sans-serif"/>
          <w:b w:val="false"/>
          <w:color w:val="000000"/>
          <w:sz w:val="24"/>
        </w:rPr>
        <w:t xml:space="preserve">then the Administrative Agent shall have the rights specified in </w:t>
      </w:r>
      <w:r>
        <w:rPr>
          <w:rFonts w:ascii="Times New Roman;sans-serif" w:hAnsi="Times New Roman;sans-serif"/>
          <w:b w:val="false"/>
          <w:color w:val="000000"/>
          <w:sz w:val="24"/>
          <w:u w:val="single"/>
        </w:rPr>
        <w:t>Section 4.06(c)</w:t>
      </w:r>
      <w:r>
        <w:rPr>
          <w:rFonts w:ascii="Times New Roman;sans-serif" w:hAnsi="Times New Roman;sans-serif"/>
          <w:b w:val="false"/>
          <w:color w:val="000000"/>
          <w:sz w:val="24"/>
        </w:rPr>
        <w:t>.</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i/>
          <w:color w:val="000000"/>
          <w:sz w:val="24"/>
          <w:u w:val="single"/>
        </w:rPr>
        <w:t>Illegality</w:t>
      </w:r>
      <w:r>
        <w:rPr>
          <w:rFonts w:ascii="Times New Roman;sans-serif" w:hAnsi="Times New Roman;sans-serif"/>
          <w:b w:val="false"/>
          <w:color w:val="000000"/>
          <w:sz w:val="24"/>
        </w:rPr>
        <w:t xml:space="preserve">. If at any time any Lender shall have determined, or any Governmental Authority shall have asserted, that the making, maintenance or funding of any Term SOFR Rate Loan or Daily SOFR Rate Loan, or the determination or charging of interest rates based on the Term SOFR Rate or the Daily SOFR Rate, has been made impracticable or unlawful by compliance by such Lender in good faith with any Applicable Law or any interpretation or application thereof by any Governmental Authority or with any request or directive of any such Governmental Authority (whether or not having the force of Applicable Law), then the Administrative Agent shall have the rights specified in </w:t>
      </w:r>
      <w:r>
        <w:rPr>
          <w:rFonts w:ascii="Times New Roman;sans-serif" w:hAnsi="Times New Roman;sans-serif"/>
          <w:b w:val="false"/>
          <w:color w:val="000000"/>
          <w:sz w:val="24"/>
          <w:u w:val="single"/>
        </w:rPr>
        <w:t>Section 4.06(c)</w:t>
      </w:r>
      <w:r>
        <w:rPr>
          <w:rFonts w:ascii="Times New Roman;sans-serif" w:hAnsi="Times New Roman;sans-serif"/>
          <w:b w:val="false"/>
          <w:color w:val="000000"/>
          <w:sz w:val="24"/>
        </w:rPr>
        <w:t>.</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i/>
          <w:color w:val="000000"/>
          <w:sz w:val="24"/>
          <w:u w:val="single"/>
        </w:rPr>
        <w:t>Administrative Agent’s and Lender’s Rights</w:t>
      </w:r>
      <w:r>
        <w:rPr>
          <w:rFonts w:ascii="Times New Roman;sans-serif" w:hAnsi="Times New Roman;sans-serif"/>
          <w:b w:val="false"/>
          <w:color w:val="000000"/>
          <w:sz w:val="24"/>
        </w:rPr>
        <w:t xml:space="preserve">. In the case of any event specified in </w:t>
      </w:r>
      <w:r>
        <w:rPr>
          <w:rFonts w:ascii="Times New Roman;sans-serif" w:hAnsi="Times New Roman;sans-serif"/>
          <w:b w:val="false"/>
          <w:color w:val="000000"/>
          <w:sz w:val="24"/>
          <w:u w:val="single"/>
        </w:rPr>
        <w:t>Section 4.06(a)</w:t>
      </w:r>
      <w:r>
        <w:rPr>
          <w:color w:val="000000"/>
        </w:rPr>
        <w:t xml:space="preserve"> </w:t>
      </w:r>
      <w:r>
        <w:rPr>
          <w:rFonts w:ascii="Times New Roman;sans-serif" w:hAnsi="Times New Roman;sans-serif"/>
          <w:b w:val="false"/>
          <w:color w:val="000000"/>
          <w:sz w:val="24"/>
        </w:rPr>
        <w:t xml:space="preserve">above, the Administrative Agent shall promptly notify the Group Agents and the Borrower thereof, and in the case of an event specified in </w:t>
      </w:r>
      <w:r>
        <w:rPr>
          <w:rFonts w:ascii="Times New Roman;sans-serif" w:hAnsi="Times New Roman;sans-serif"/>
          <w:b w:val="false"/>
          <w:color w:val="000000"/>
          <w:sz w:val="24"/>
          <w:u w:val="single"/>
        </w:rPr>
        <w:t>Section 4.06(b)</w:t>
      </w:r>
      <w:r>
        <w:rPr>
          <w:color w:val="000000"/>
        </w:rPr>
        <w:t xml:space="preserve"> </w:t>
      </w:r>
      <w:r>
        <w:rPr>
          <w:rFonts w:ascii="Times New Roman;sans-serif" w:hAnsi="Times New Roman;sans-serif"/>
          <w:b w:val="false"/>
          <w:color w:val="000000"/>
          <w:sz w:val="24"/>
        </w:rPr>
        <w:t xml:space="preserve">above, the Majority Group Agents shall promptly so notify the Administrative Agent and endorse a certificate to such notice as to the specific circumstances of such notice, and the Administrative Agent shall promptly send copies of such notice and certificate to the other Group Agents and the Borrower. Upon such date as shall be specified in such notice (which shall not be earlier than the date such notice is given), the obligation of (i) the Lenders, in the case of such notice given by the Administrative Agent, or (ii) the relevant Group Agents, in the case of such notice given by the Majority Group Agents, to allow the Borrower to select, convert to, renew or continue a Term SOFR Rate Loan or a Daily SOFR Rate Loan, as applicable, shall be suspended (to the extent of </w:t>
      </w:r>
      <w:r>
        <w:br w:type="page"/>
      </w: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2100"/>
                <wp:effectExtent l="0" t="0" r="0" b="0"/>
                <wp:wrapNone/>
                <wp:docPr id="107" name="Frame10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the affected Term SOFR Rate Loan, Daily SOFR Rate Loan or Interest Periods) until the Administrative Agent shall have later notified the Borrower, or the Majority Group Agents shall have later notified the Administrative Agent, of the Administrative Agent’s or the Majority Group Agents’, as the case may be, determination that the circumstances giving rise to such previous determination no longer exist. Upon a determination by Administrative Agent under </w:t>
      </w:r>
      <w:r>
        <w:rPr>
          <w:rFonts w:ascii="Times New Roman;sans-serif" w:hAnsi="Times New Roman;sans-serif"/>
          <w:b w:val="false"/>
          <w:color w:val="000000"/>
          <w:sz w:val="24"/>
          <w:u w:val="single"/>
        </w:rPr>
        <w:t>Section 4.06(a)</w:t>
      </w:r>
      <w:r>
        <w:rPr>
          <w:rFonts w:ascii="Times New Roman;sans-serif" w:hAnsi="Times New Roman;sans-serif"/>
          <w:b w:val="false"/>
          <w:color w:val="000000"/>
          <w:sz w:val="24"/>
        </w:rPr>
        <w:t xml:space="preserve">, (i) if the Borrower has previously notified the Administrative Agent of its selection of, conversion to or renewal of a Term SOFR Rate Loan or a Daily SOFR Rate Loan and the Term SOFR Option or the Daily SOFR Option, as applicable, has not yet gone into effect, such notification shall be deemed to provide for selection of, conversion to or renewal of a Base Rate Loan, (ii) any outstanding affected Daily SOFR Rate Loans will be deemed to have been converted into Base Rate Loans immediately, and (iii) any outstanding affected Term SOFR Rate Loans will be deemed to have been converted into Base Rate Loans at the end of the applicable Interest Period. If the Majority Group Agents notify the Administrative Agent of a determination under </w:t>
      </w:r>
      <w:r>
        <w:rPr>
          <w:rFonts w:ascii="Times New Roman;sans-serif" w:hAnsi="Times New Roman;sans-serif"/>
          <w:b w:val="false"/>
          <w:color w:val="000000"/>
          <w:sz w:val="24"/>
          <w:u w:val="single"/>
        </w:rPr>
        <w:t>Section 4.06(b)</w:t>
      </w:r>
      <w:r>
        <w:rPr>
          <w:rFonts w:ascii="Times New Roman;sans-serif" w:hAnsi="Times New Roman;sans-serif"/>
          <w:b w:val="false"/>
          <w:color w:val="000000"/>
          <w:sz w:val="24"/>
        </w:rPr>
        <w:t xml:space="preserve">, the Borrower shall, subject to the Borrower’s indemnification obligations under </w:t>
      </w:r>
      <w:r>
        <w:rPr>
          <w:rFonts w:ascii="Times New Roman;sans-serif" w:hAnsi="Times New Roman;sans-serif"/>
          <w:b w:val="false"/>
          <w:color w:val="000000"/>
          <w:sz w:val="24"/>
          <w:u w:val="single"/>
        </w:rPr>
        <w:t>Section 12.01</w:t>
      </w:r>
      <w:r>
        <w:rPr>
          <w:rFonts w:ascii="Times New Roman;sans-serif" w:hAnsi="Times New Roman;sans-serif"/>
          <w:b w:val="false"/>
          <w:color w:val="000000"/>
          <w:sz w:val="24"/>
        </w:rPr>
        <w:t xml:space="preserve">, as to any Loan of a Lender to which a Term SOFR Option or a Daily SOFR Option applies, on the date specified in such notice either convert such Loan to a Base Rate Loan otherwise available with respect to such Loan or prepay such Loan in accordance with </w:t>
      </w:r>
      <w:r>
        <w:rPr>
          <w:rFonts w:ascii="Times New Roman;sans-serif" w:hAnsi="Times New Roman;sans-serif"/>
          <w:b w:val="false"/>
          <w:color w:val="000000"/>
          <w:sz w:val="24"/>
          <w:u w:val="single"/>
        </w:rPr>
        <w:t>Section 2.02</w:t>
      </w:r>
      <w:r>
        <w:rPr>
          <w:rFonts w:ascii="Times New Roman;sans-serif" w:hAnsi="Times New Roman;sans-serif"/>
          <w:b w:val="false"/>
          <w:color w:val="000000"/>
          <w:sz w:val="24"/>
        </w:rPr>
        <w:t>. Absent due notice from the Borrower of conversion or prepayment, such Loan shall automatically be converted to a Base Rate Loan upon such specified date.</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i/>
          <w:color w:val="000000"/>
          <w:sz w:val="24"/>
          <w:u w:val="single"/>
        </w:rPr>
        <w:t>Benchmark Replacement Setting</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Benchmark Replacement</w:t>
      </w:r>
      <w:r>
        <w:rPr>
          <w:rFonts w:ascii="Times New Roman;sans-serif" w:hAnsi="Times New Roman;sans-serif"/>
          <w:b w:val="false"/>
          <w:color w:val="000000"/>
          <w:sz w:val="24"/>
        </w:rPr>
        <w:t xml:space="preserve">. Notwithstanding anything to the contrary herein or in any other Transaction Document, if a Benchmark Transition Event and its related Benchmark Replacement Date have occurred prior to any setting of the then-current Benchmark, then (A) if a Benchmark Replacement is determined in accordance with </w:t>
      </w:r>
      <w:r>
        <w:rPr>
          <w:rFonts w:ascii="Times New Roman;sans-serif" w:hAnsi="Times New Roman;sans-serif"/>
          <w:b w:val="false"/>
          <w:color w:val="000000"/>
          <w:sz w:val="24"/>
          <w:u w:val="single"/>
        </w:rPr>
        <w:t>clause (1)</w:t>
      </w:r>
      <w:r>
        <w:rPr>
          <w:color w:val="000000"/>
        </w:rPr>
        <w:t xml:space="preserve"> </w:t>
      </w:r>
      <w:r>
        <w:rPr>
          <w:rFonts w:ascii="Times New Roman;sans-serif" w:hAnsi="Times New Roman;sans-serif"/>
          <w:b w:val="false"/>
          <w:color w:val="000000"/>
          <w:sz w:val="24"/>
        </w:rPr>
        <w:t xml:space="preserve">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(B) if a Benchmark Replacement is determined in accordance with </w:t>
      </w:r>
      <w:r>
        <w:rPr>
          <w:rFonts w:ascii="Times New Roman;sans-serif" w:hAnsi="Times New Roman;sans-serif"/>
          <w:b w:val="false"/>
          <w:color w:val="000000"/>
          <w:sz w:val="24"/>
          <w:u w:val="single"/>
        </w:rPr>
        <w:t>clause (2)</w:t>
      </w:r>
      <w:r>
        <w:rPr>
          <w:color w:val="000000"/>
        </w:rPr>
        <w:t xml:space="preserve"> </w:t>
      </w:r>
      <w:r>
        <w:rPr>
          <w:rFonts w:ascii="Times New Roman;sans-serif" w:hAnsi="Times New Roman;sans-serif"/>
          <w:b w:val="false"/>
          <w:color w:val="000000"/>
          <w:sz w:val="24"/>
        </w:rPr>
        <w:t>of the definition of “Benchmark Replacement” for such Benchmark Replacement Date, such Benchmark Replacement will replace such Benchmark for all purposes hereunder and under any Transaction Document in respect of any Benchmark setting at or after 5:00 p.m. (New York City time) on the fifth (5th) Business Day after the date notice of such Benchmark Replacement is provided to the Group Agents without any amendment to, or further action or consent of any other party to, this Agreement or any other Transaction Document so long as the Administrative Agent has not received, by such time, written notice of objection to such Benchmark Replacement from the Majority Group Agents.</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Benchmark Replacement Conforming Changes</w:t>
      </w:r>
      <w:r>
        <w:rPr>
          <w:rFonts w:ascii="Times New Roman;sans-serif" w:hAnsi="Times New Roman;sans-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Notices; Standards for Decisions and Determinations</w:t>
      </w:r>
      <w:r>
        <w:rPr>
          <w:rFonts w:ascii="Times New Roman;sans-serif" w:hAnsi="Times New Roman;sans-serif"/>
          <w:b w:val="false"/>
          <w:color w:val="000000"/>
          <w:sz w:val="24"/>
        </w:rPr>
        <w:t xml:space="preserve">. The Administrative Agent will promptly notify the Borrower and the Group Agents of (A) the implementation of any Benchmark Replacement, and (B) the effectiveness of any Conforming Changes in connection with the use, administration, adoption or </w:t>
      </w:r>
      <w:r>
        <w:br w:type="page"/>
      </w: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2100"/>
                <wp:effectExtent l="0" t="0" r="0" b="0"/>
                <wp:wrapNone/>
                <wp:docPr id="108" name="Frame10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implementation of a Benchmark Replacement. The Administrative Agent will notify the Borrower of (x) the removal or reinstatement of any tenor of a Benchmark pursuant to </w:t>
      </w:r>
      <w:r>
        <w:rPr>
          <w:rFonts w:ascii="Times New Roman;sans-serif" w:hAnsi="Times New Roman;sans-serif"/>
          <w:b w:val="false"/>
          <w:color w:val="000000"/>
          <w:sz w:val="24"/>
          <w:u w:val="single"/>
        </w:rPr>
        <w:t>clause (iv)</w:t>
      </w:r>
      <w:r>
        <w:rPr>
          <w:color w:val="000000"/>
        </w:rPr>
        <w:t xml:space="preserve"> </w:t>
      </w:r>
      <w:r>
        <w:rPr>
          <w:rFonts w:ascii="Times New Roman;sans-serif" w:hAnsi="Times New Roman;sans-serif"/>
          <w:b w:val="false"/>
          <w:color w:val="000000"/>
          <w:sz w:val="24"/>
        </w:rPr>
        <w:t xml:space="preserve">below and (y) the commencement of any Benchmark Unavailability Period. Any determination, decision or election that may be made by the Administrative Agent or, if applicable, any Lender (or group of Lenders) pursuant to this </w:t>
      </w:r>
      <w:r>
        <w:rPr>
          <w:rFonts w:ascii="Times New Roman;sans-serif" w:hAnsi="Times New Roman;sans-serif"/>
          <w:b w:val="false"/>
          <w:color w:val="000000"/>
          <w:sz w:val="24"/>
          <w:u w:val="single"/>
        </w:rPr>
        <w:t>Section 4.06</w:t>
      </w:r>
      <w:r>
        <w:rPr>
          <w:rFonts w:ascii="Times New Roman;sans-serif" w:hAnsi="Times New Roman;sans-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w:t>
      </w:r>
      <w:r>
        <w:rPr>
          <w:rFonts w:ascii="Times New Roman;sans-serif" w:hAnsi="Times New Roman;sans-serif"/>
          <w:b w:val="false"/>
          <w:color w:val="000000"/>
          <w:sz w:val="24"/>
          <w:u w:val="single"/>
        </w:rPr>
        <w:t>Section 4.06</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Unavailability of Tenor of Benchmark</w:t>
      </w:r>
      <w:r>
        <w:rPr>
          <w:rFonts w:ascii="Times New Roman;sans-serif" w:hAnsi="Times New Roman;sans-serif"/>
          <w:b w:val="false"/>
          <w:color w:val="000000"/>
          <w:sz w:val="24"/>
        </w:rPr>
        <w:t xml:space="preserve">. Notwithstanding anything to the contrary herein or in any other Transaction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Benchmark Unavailability Period</w:t>
      </w:r>
      <w:r>
        <w:rPr>
          <w:rFonts w:ascii="Times New Roman;sans-serif" w:hAnsi="Times New Roman;sans-serif"/>
          <w:b w:val="false"/>
          <w:color w:val="000000"/>
          <w:sz w:val="24"/>
        </w:rPr>
        <w:t>. Upon the Borrower’s receipt of notice of the commencement of a Benchmark Unavailability Period with respect to the Term SOFR Rate or the Daily SOFR Rate, as applicable, the Borrower may revoke any pending request for a Loan bearing interest based on such rate or conversion to or continuation of Loans bearing interest based on such rate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1.0g.</w:t>
      </w:r>
      <w:r>
        <w:rPr>
          <w:rFonts w:ascii="Times New Roman;sans-serif" w:hAnsi="Times New Roman;sans-serif"/>
          <w:b w:val="false"/>
          <w:color w:val="000000"/>
          <w:sz w:val="24"/>
        </w:rPr>
        <w:t xml:space="preserve">Benchmark Replacement Notification. </w:t>
      </w:r>
      <w:r>
        <w:rPr>
          <w:rFonts w:ascii="Times New Roman;sans-serif" w:hAnsi="Times New Roman;sans-serif"/>
          <w:b w:val="false"/>
          <w:color w:val="000000"/>
          <w:sz w:val="24"/>
          <w:u w:val="single"/>
        </w:rPr>
        <w:t>Section 4.06(d)</w:t>
      </w:r>
      <w:r>
        <w:rPr>
          <w:color w:val="000000"/>
        </w:rPr>
        <w:t xml:space="preserve"> </w:t>
      </w:r>
      <w:r>
        <w:rPr>
          <w:rFonts w:ascii="Times New Roman;sans-serif" w:hAnsi="Times New Roman;sans-serif"/>
          <w:b w:val="false"/>
          <w:color w:val="000000"/>
          <w:sz w:val="24"/>
        </w:rPr>
        <w:t>of this Agreement provides a mechanism for determining an alternative rate of interest in the event that the Term SOFR Rate or the Daily SOFR Rate, as applicable, is no longer available or in certain other circumstances. The Administrative Agent does not warrant or accept any responsibility for and shall not have any liability with respect to, the administration, submission or any other matter related to the Term SOFR Rate or the Daily SOFR Rate, as applicable, or with respect to any alternative or successor rate thereto, or replacement rate therefor.</w:t>
      </w:r>
      <w:r>
        <w:br w:type="page"/>
      </w: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2100"/>
                <wp:effectExtent l="0" t="0" r="0" b="0"/>
                <wp:wrapNone/>
                <wp:docPr id="109" name="Frame10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center"/>
        <w:rPr/>
      </w:pPr>
      <w:r>
        <w:rPr>
          <w:rFonts w:ascii="Times New Roman;sans-serif" w:hAnsi="Times New Roman;sans-serif"/>
          <w:b/>
          <w:color w:val="000000"/>
          <w:sz w:val="24"/>
        </w:rPr>
        <w:t>ARTICLE 5</w:t>
      </w:r>
      <w:r>
        <w:rPr>
          <w:rFonts w:ascii="Times New Roman;sans-serif" w:hAnsi="Times New Roman;sans-serif"/>
          <w:b/>
          <w:color w:val="000000"/>
          <w:sz w:val="24"/>
        </w:rPr>
        <w:br/>
        <w:br/>
        <w:t>CONDITIONS TO EFFECTIVENESS AND CREDIT EXTENSIONS</w:t>
      </w:r>
    </w:p>
    <w:p>
      <w:pPr>
        <w:pStyle w:val="TextBody"/>
        <w:spacing w:lineRule="auto" w:line="240" w:before="0" w:after="240"/>
        <w:ind w:left="0" w:right="0" w:firstLine="144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 xml:space="preserve">Conditions Precedent to Effectiveness and the Initial Credit Extension. This Agreement shall become effective as of the Closing Date when (a) the Administrative Agent shall have received each of the documents, agreements (in fully executed form), opinions of counsel, lien search results, UCC filings, certificates and other deliverables listed on the closing memorandum attached as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hereto, in each case, in form and substance acceptable to the Administrative Agent and (b) all fees and expenses payable by the Borrower on the Closing Date to the Credit Parties have been paid in full in accordance with the terms of the Transaction Documents.</w:t>
      </w:r>
    </w:p>
    <w:p>
      <w:pPr>
        <w:pStyle w:val="TextBody"/>
        <w:spacing w:lineRule="auto" w:line="240" w:before="0" w:after="240"/>
        <w:ind w:left="0" w:right="0" w:firstLine="144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Conditions Precedent to All Credit Extensions. Each Credit Extension hereunder on or after the Closing Date shall be subject to the conditions precedent that: </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i.in the case of a Loan, the Borrower shall have delivered to the Administrative Agent and each Group Agent a Loan Request for such Loan, in accordance with </w:t>
      </w:r>
      <w:r>
        <w:rPr>
          <w:rFonts w:ascii="Times New Roman;sans-serif" w:hAnsi="Times New Roman;sans-serif"/>
          <w:b w:val="false"/>
          <w:color w:val="000000"/>
          <w:sz w:val="24"/>
          <w:u w:val="single"/>
        </w:rPr>
        <w:t>Section 2.02(a)</w:t>
      </w:r>
      <w:r>
        <w:rPr>
          <w:rFonts w:ascii="Times New Roman;sans-serif" w:hAnsi="Times New Roman;sans-serif"/>
          <w:b w:val="false"/>
          <w:color w:val="000000"/>
          <w:sz w:val="24"/>
        </w:rPr>
        <w:t>;</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ii.the Servicer shall have delivered to the Administrative Agent and each Group Agent all Information Packages required to be delivered hereunder;</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iii.the conditions precedent to such Credit Extension specified in </w:t>
      </w:r>
      <w:r>
        <w:rPr>
          <w:rFonts w:ascii="Times New Roman;sans-serif" w:hAnsi="Times New Roman;sans-serif"/>
          <w:b w:val="false"/>
          <w:color w:val="000000"/>
          <w:sz w:val="24"/>
          <w:u w:val="single"/>
        </w:rPr>
        <w:t>Section 2.01(a)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(d)</w:t>
      </w:r>
      <w:r>
        <w:rPr>
          <w:color w:val="000000"/>
        </w:rPr>
        <w:t xml:space="preserve"> </w:t>
      </w:r>
      <w:r>
        <w:rPr>
          <w:rFonts w:ascii="Times New Roman;sans-serif" w:hAnsi="Times New Roman;sans-serif"/>
          <w:b w:val="false"/>
          <w:color w:val="000000"/>
          <w:sz w:val="24"/>
        </w:rPr>
        <w:t>shall be satisfied;</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iv.on the date of such Credit Extension the following statements shall be true and correct (and upon the occurrence of such Credit Extension, the Borrower and the Servicer shall be deemed to have represented and warranted that such statements are then true and correct):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1.the representations and warranties of the Borrower and the Servicer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are true and correct in all material respects (unless such representations and warranties contain a materiality qualifier, in which case such representations and warranties shall be true and correct as made) on and as of the date of such Credit Extension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2.no Event of Default or Unmatured Event of Default has occurred and is continuing, and no Event of Default or Unmatured Event of Default would result from such Credit Extension;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3.no Borrowing Base Deficit exists or would exist after giving effect to such Credit Extension;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Aggregate Capital would not equal an amount less than the Minimum Funding Threshold after giving effect to such Credit Extension;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5.the Termination Date has not occurred.</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Conditions Precedent to All Releases. Each Release hereunder on or after the Closing Date shall be subject to the conditions precedent that:</w:t>
      </w:r>
      <w:r>
        <w:br w:type="page"/>
      </w: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2100"/>
                <wp:effectExtent l="0" t="0" r="0" b="0"/>
                <wp:wrapNone/>
                <wp:docPr id="110" name="Frame11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i.after giving effect to such Release, the Servicer shall be holding in trust for the benefit of the Secured Parties an amount of Collections sufficient to pay the sum of (x) all accrued and unpaid Servicing Fees, Interest, Fees and Breakage Fees, in each case, through the date of such Release, (y) the amount of any Borrowing Base Deficit and (z) the amount of all other accrued and unpaid Borrower Obligations through the date of such Release;</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ii.the Borrower shall use the proceeds of such Release solely to pay (x) the purchase price for Receivables purchased by the Borrower in accordance with the terms of the Purchase and Sale Agreement and (y) any amounts owing by the Borrower to the Originators under the Subordinated Notes; and</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iii.on the date of such Release the following statements shall be true and correct (and upon the occurrence of such Release, the Borrower and the Servicer shall be deemed to have represented and warranted that such statements are then true and correct):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1.the representations and warranties of the Borrower and the Servicer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are true and correct in all material respects (unless such representations and warranties contain a materiality qualifier, in which case such representations and warranties shall be true and correct as made) on and as of the date of such Release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2.no Event of Default has occurred and is continuing, and no Event of Default would result from such Release;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3.no Borrowing Base Deficit exists or would exist after giving effect to such Release;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Termination Date has not occurred.</w:t>
      </w:r>
    </w:p>
    <w:p>
      <w:pPr>
        <w:pStyle w:val="TextBody"/>
        <w:spacing w:lineRule="auto" w:line="240" w:before="0" w:after="240"/>
        <w:jc w:val="center"/>
        <w:rPr/>
      </w:pPr>
      <w:r>
        <w:rPr>
          <w:rFonts w:ascii="Times New Roman;sans-serif" w:hAnsi="Times New Roman;sans-serif"/>
          <w:b/>
          <w:color w:val="000000"/>
          <w:sz w:val="24"/>
        </w:rPr>
        <w:t>ARTICLE 6</w:t>
      </w:r>
      <w:r>
        <w:rPr>
          <w:rFonts w:ascii="Times New Roman;sans-serif" w:hAnsi="Times New Roman;sans-serif"/>
          <w:b/>
          <w:color w:val="000000"/>
          <w:sz w:val="24"/>
        </w:rPr>
        <w:br/>
        <w:br/>
        <w:t>REPRESENTATIONS AND WARRANTIES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Representations and Warranties of the Borrower. The Borrower represents and warrants to each Credit Party as of the Closing Date, on each Settlement Date and on each day on which a Credit Extension shall have occurred:</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Formation and Good Standing</w:t>
      </w:r>
      <w:r>
        <w:rPr>
          <w:rFonts w:ascii="Times New Roman;sans-serif" w:hAnsi="Times New Roman;sans-serif"/>
          <w:b w:val="false"/>
          <w:color w:val="000000"/>
          <w:sz w:val="24"/>
        </w:rPr>
        <w:t>. The Borrower is a duly formed and validly existing limited liability company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Due Qualification</w:t>
      </w:r>
      <w:r>
        <w:rPr>
          <w:rFonts w:ascii="Times New Roman;sans-serif" w:hAnsi="Times New Roman;sans-serif"/>
          <w:b w:val="false"/>
          <w:color w:val="000000"/>
          <w:sz w:val="24"/>
        </w:rPr>
        <w:t>. The Borrower is duly qualified to do business, is in good standing as a foreign entity and has obtained all necessary licenses and approvals in all jurisdictions in which the conduct of its business requires such qualification, licenses or approvals, except where the failure to do so could not reasonably be expected to have a Material Adverse Effect.</w:t>
      </w:r>
      <w:r>
        <w:br w:type="page"/>
      </w: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2100"/>
                <wp:effectExtent l="0" t="0" r="0" b="0"/>
                <wp:wrapNone/>
                <wp:docPr id="111" name="Frame11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Power and Authority; Due Authorization</w:t>
      </w:r>
      <w:r>
        <w:rPr>
          <w:rFonts w:ascii="Times New Roman;sans-serif" w:hAnsi="Times New Roman;sans-serif"/>
          <w:b w:val="false"/>
          <w:color w:val="000000"/>
          <w:sz w:val="24"/>
        </w:rPr>
        <w:t>. The Borrower (i) has all necessary power and authority to (A) execute and deliver this Agreement and the other Transaction Documents to which it is a party, (B) perform its obligations under this Agreement and the other Transaction Documents to which it is a party and (C) grant a security interest in the Collateral to the Administrative Agent on the terms and subject to the conditions herein provided and (ii) has duly authorized by all necessary action such grant and the execution, delivery and performance of, and the consummation of the transactions provided for in, this Agreement and the other Transaction Documents to which it is a party.</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Binding Obligations</w:t>
      </w:r>
      <w:r>
        <w:rPr>
          <w:rFonts w:ascii="Times New Roman;sans-serif" w:hAnsi="Times New Roman;sans-serif"/>
          <w:b w:val="false"/>
          <w:color w:val="000000"/>
          <w:sz w:val="24"/>
        </w:rPr>
        <w:t>. This Agreement and each of the other Transaction Documents to which the Borrower is a party constitutes legal, valid and binding obligations of the Borrower, enforceable against the Borrower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No Conflict or Violation</w:t>
      </w:r>
      <w:r>
        <w:rPr>
          <w:rFonts w:ascii="Times New Roman;sans-serif" w:hAnsi="Times New Roman;sans-serif"/>
          <w:b w:val="false"/>
          <w:color w:val="000000"/>
          <w:sz w:val="24"/>
        </w:rPr>
        <w:t>. The execution, delivery and performance of, and the consummation of the transactions contemplated by, this Agreement and the other Transaction Documents to which the Borrower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Borrower is a party or by which it or any of its properties is bound, (ii) result in the creation or imposition of any Adverse Claim upon any of the Collateral or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Litigation and Other Proceedings</w:t>
      </w:r>
      <w:r>
        <w:rPr>
          <w:rFonts w:ascii="Times New Roman;sans-serif" w:hAnsi="Times New Roman;sans-serif"/>
          <w:b w:val="false"/>
          <w:color w:val="000000"/>
          <w:sz w:val="24"/>
        </w:rPr>
        <w:t xml:space="preserve">. (i) There is no action, suit, proceeding or investigation pending or, to the best knowledge of the Borrower, threatened, against the Borrower before any Governmental Authority and (ii) the Borrower is not subject to any order, judgment, decree, injunction, stipulation or consent order of or with any Governmental Authority that, in the case of either of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(A) asserts the invalidity of this Agreement or any other Transaction Document, (B) seeks to prevent the grant of a security interest in any Collateral by the Borrower to the Administrative Agent, the ownership or acquisition by the Borrower of any Pool Receivables or other Collateral or the consummation of any of the transactions contemplated by this Agreement or any other Transaction Document, (C) seeks any determination or ruling that could materially and adversely affect the performance by the Borrower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No Consents</w:t>
      </w:r>
      <w:r>
        <w:rPr>
          <w:rFonts w:ascii="Times New Roman;sans-serif" w:hAnsi="Times New Roman;sans-serif"/>
          <w:b w:val="false"/>
          <w:color w:val="000000"/>
          <w:sz w:val="24"/>
        </w:rPr>
        <w:t xml:space="preserve">. The Borrower is not required to obtain the consent of any other party or any consent, order, license, approval, registration, authorization, action or declaration of or with any Governmental Authority in connection with the grant of a security interest in the Collateral by the Borrower to the Administrative Agent hereunder or the due execution, delivery, or performance by the Borrower of this Agreement or any other Transaction Document to which it is a party or the consummation by the Borrower of the transactions contemplated by this Agreement or any other Transaction Documents to which it is a party that has not already been obtained and are in full force and effect or the failure of which to obtain could not reasonably be expected to have a Material Adverse Effect. </w:t>
      </w:r>
      <w:r>
        <w:br w:type="page"/>
      </w:r>
    </w:p>
    <w:p>
      <w:pPr>
        <w:pStyle w:val="TextBody"/>
        <w:spacing w:before="0" w:after="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2100"/>
                <wp:effectExtent l="0" t="0" r="0" b="0"/>
                <wp:wrapNone/>
                <wp:docPr id="112" name="Frame11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Offices; Legal Name</w:t>
      </w:r>
      <w:r>
        <w:rPr>
          <w:rFonts w:ascii="Times New Roman;sans-serif" w:hAnsi="Times New Roman;sans-serif"/>
          <w:b w:val="false"/>
          <w:color w:val="000000"/>
          <w:sz w:val="24"/>
        </w:rPr>
        <w:t>. The Borrower’s sole jurisdiction of organization is the State of Delaware and such jurisdiction has not changed within four (4) months prior to the date of this Agreement. The office of the Borrower is located at 311 Enterprise Drive, Plainsboro, New Jersey 08536. The legal name of the Borrower is Integra Receivables LLC.</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Investment Company Act; Volcker Rule</w:t>
      </w:r>
      <w:r>
        <w:rPr>
          <w:rFonts w:ascii="Times New Roman;sans-serif" w:hAnsi="Times New Roman;sans-serif"/>
          <w:b w:val="false"/>
          <w:color w:val="000000"/>
          <w:sz w:val="24"/>
        </w:rPr>
        <w:t>. The Borrower (i) is not, and is not controlled by, an “investment company” registered or required to be registered under the Investment Company Act and (ii) is not a “covered fund” under the Volcker Rule. In determining that the Borrower is not a “covered fund” under the Volcker Rule, the Borrower relies on, and is entitled to rely on, the exemption from the definition of “investment company” set forth in Section 3(c)(5) of the Investment Company Act.</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Since the date of formation of the Borrower there has been no Material Adverse Effect with respect to the Borrower.</w:t>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Accuracy of Information</w:t>
      </w:r>
      <w:r>
        <w:rPr>
          <w:rFonts w:ascii="Times New Roman;sans-serif" w:hAnsi="Times New Roman;sans-serif"/>
          <w:b w:val="false"/>
          <w:color w:val="000000"/>
          <w:sz w:val="24"/>
        </w:rPr>
        <w:t>. All Information Packages, Interim Reports, Loan Requests, certificates, reports, statements, documents and other information, other than financial projections, furnished to the Administrative Agent or any other Credit Party by or on behalf of the Borrower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w:t>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Anti-Money Laundering/International Trade Law Compliance</w:t>
      </w:r>
      <w:r>
        <w:rPr>
          <w:rFonts w:ascii="Times New Roman;sans-serif" w:hAnsi="Times New Roman;sans-serif"/>
          <w:b w:val="false"/>
          <w:color w:val="000000"/>
          <w:sz w:val="24"/>
        </w:rPr>
        <w:t>. No Covered Entity is a Sanctioned Person. 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pStyle w:val="TextBody"/>
        <w:spacing w:lineRule="auto" w:line="240" w:before="0" w:after="240"/>
        <w:ind w:left="0" w:right="0" w:firstLine="10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Transaction Information</w:t>
      </w:r>
      <w:r>
        <w:rPr>
          <w:rFonts w:ascii="Times New Roman;sans-serif" w:hAnsi="Times New Roman;sans-serif"/>
          <w:b w:val="false"/>
          <w:color w:val="000000"/>
          <w:sz w:val="24"/>
        </w:rPr>
        <w:t>. None of the Borrower, any Affiliate of the Borrower or any third party with which the Borrower or any Affiliate thereof has contracted, has delivered, in writing or orally, to any Rating Agency,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w:t>
      </w:r>
    </w:p>
    <w:p>
      <w:pPr>
        <w:pStyle w:val="TextBody"/>
        <w:spacing w:lineRule="auto" w:line="240" w:before="0" w:after="240"/>
        <w:ind w:left="0" w:right="0" w:firstLine="1073"/>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Compliance with Law. The Borrower has complied in all respects with all Applicable Laws to which it may be subject, except to the extent that any such noncompliance could not reasonably be expected to have a Material Adverse Effect.</w:t>
      </w:r>
    </w:p>
    <w:p>
      <w:pPr>
        <w:pStyle w:val="TextBody"/>
        <w:spacing w:lineRule="auto" w:line="240" w:before="0" w:after="240"/>
        <w:ind w:left="0" w:right="0" w:firstLine="114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Eligible Receivables</w:t>
      </w:r>
      <w:r>
        <w:rPr>
          <w:rFonts w:ascii="Times New Roman;sans-serif" w:hAnsi="Times New Roman;sans-serif"/>
          <w:b w:val="false"/>
          <w:color w:val="000000"/>
          <w:sz w:val="24"/>
        </w:rPr>
        <w:t>. Each Receivable included as an Eligible Receivable in the calculation of the Net Receivables Pool Balance as of any date is an Eligible Receivable as of such date.</w:t>
      </w:r>
    </w:p>
    <w:p>
      <w:pPr>
        <w:pStyle w:val="TextBody"/>
        <w:spacing w:lineRule="auto" w:line="240" w:before="0" w:after="240"/>
        <w:ind w:left="0" w:right="0" w:firstLine="1073"/>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Bulk Sales Act</w:t>
      </w:r>
      <w:r>
        <w:rPr>
          <w:rFonts w:ascii="Times New Roman;sans-serif" w:hAnsi="Times New Roman;sans-serif"/>
          <w:b w:val="false"/>
          <w:color w:val="000000"/>
          <w:sz w:val="24"/>
        </w:rPr>
        <w:t>. No transaction contemplated by this Agreement requires compliance by it with any bulk sales act or similar law.</w:t>
      </w:r>
    </w:p>
    <w:p>
      <w:pPr>
        <w:pStyle w:val="TextBody"/>
        <w:spacing w:lineRule="auto" w:line="240" w:before="0" w:after="240"/>
        <w:ind w:left="0" w:right="0" w:firstLine="1007"/>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xml:space="preserve">. The Borrower has (i) timely filed all tax returns (federal, state and local) required to be filed by it and (ii) paid, or caused to be paid, all taxes, assessments and other </w:t>
      </w:r>
      <w:r>
        <w:br w:type="page"/>
      </w:r>
    </w:p>
    <w:p>
      <w:pPr>
        <w:pStyle w:val="TextBody"/>
        <w:spacing w:before="0" w:after="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2100"/>
                <wp:effectExtent l="0" t="0" r="0" b="0"/>
                <wp:wrapNone/>
                <wp:docPr id="113" name="Frame11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governmental charges, if any, other than taxes, assessments and other governmental charges being contested in good faith by appropriate proceedings and as to which adequate reserves have been provided in accordance with GAAP, except to the extent that any such non-filing or non-payment could not reasonably be expected to have a Material Adverse Effect.</w:t>
      </w:r>
    </w:p>
    <w:p>
      <w:pPr>
        <w:pStyle w:val="TextBody"/>
        <w:spacing w:lineRule="auto" w:line="240" w:before="0" w:after="240"/>
        <w:ind w:left="0" w:right="0" w:firstLine="94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Opinions</w:t>
      </w:r>
      <w:r>
        <w:rPr>
          <w:rFonts w:ascii="Times New Roman;sans-serif" w:hAnsi="Times New Roman;sans-serif"/>
          <w:b w:val="false"/>
          <w:color w:val="000000"/>
          <w:sz w:val="24"/>
        </w:rPr>
        <w:t>. The facts regarding the Borrower, the Receivables, the Related Security and the related matters set forth or assumed in each of the opinions of counsel delivered in connection with this Agreement and the Transaction Documents are true and correct in all material respects.</w:t>
      </w:r>
    </w:p>
    <w:p>
      <w:pPr>
        <w:pStyle w:val="TextBody"/>
        <w:spacing w:lineRule="auto" w:line="240" w:before="0" w:after="240"/>
        <w:ind w:left="0" w:right="0" w:firstLine="1073"/>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Other Transaction Documents</w:t>
      </w:r>
      <w:r>
        <w:rPr>
          <w:rFonts w:ascii="Times New Roman;sans-serif" w:hAnsi="Times New Roman;sans-serif"/>
          <w:b w:val="false"/>
          <w:color w:val="000000"/>
          <w:sz w:val="24"/>
        </w:rPr>
        <w:t>. Each representation and warranty made by the Borrower under each other Transaction Document to which it is a party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pStyle w:val="TextBody"/>
        <w:spacing w:lineRule="auto" w:line="240" w:before="0" w:after="240"/>
        <w:ind w:left="0" w:right="0" w:firstLine="114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No Linked Accounts</w:t>
      </w:r>
      <w:r>
        <w:rPr>
          <w:rFonts w:ascii="Times New Roman;sans-serif" w:hAnsi="Times New Roman;sans-serif"/>
          <w:b w:val="false"/>
          <w:color w:val="000000"/>
          <w:sz w:val="24"/>
        </w:rPr>
        <w:t>. There are no Linked Accounts with respect to any Collection Account.</w:t>
      </w:r>
    </w:p>
    <w:p>
      <w:pPr>
        <w:pStyle w:val="TextBody"/>
        <w:spacing w:lineRule="auto" w:line="240" w:before="0" w:after="240"/>
        <w:ind w:left="0" w:right="0" w:firstLine="1073"/>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u w:val="single"/>
        </w:rPr>
        <w:t>Margin Regulations</w:t>
      </w:r>
      <w:r>
        <w:rPr>
          <w:rFonts w:ascii="Times New Roman;sans-serif" w:hAnsi="Times New Roman;sans-serif"/>
          <w:b w:val="false"/>
          <w:color w:val="000000"/>
          <w:sz w:val="24"/>
        </w:rPr>
        <w:t>. The Borrower is not engaged, principally or as one of its important activities, in the business of extending credit for the purpose of purchasing or carrying margin stock (within the meanings of Regulations T, U and X of the Board of Governors of the Federal Reserve System).</w:t>
      </w:r>
    </w:p>
    <w:p>
      <w:pPr>
        <w:pStyle w:val="TextBody"/>
        <w:spacing w:lineRule="auto" w:line="240" w:before="0" w:after="240"/>
        <w:ind w:left="0" w:right="0" w:firstLine="1007"/>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u w:val="single"/>
        </w:rPr>
        <w:t>Solvency</w:t>
      </w:r>
      <w:r>
        <w:rPr>
          <w:rFonts w:ascii="Times New Roman;sans-serif" w:hAnsi="Times New Roman;sans-serif"/>
          <w:b w:val="false"/>
          <w:color w:val="000000"/>
          <w:sz w:val="24"/>
        </w:rPr>
        <w:t>. After giving effect to the transactions contemplated by this Agreement and the other Transaction Documents, the Borrower is Solvent.</w:t>
      </w:r>
    </w:p>
    <w:p>
      <w:pPr>
        <w:pStyle w:val="TextBody"/>
        <w:spacing w:lineRule="auto" w:line="240" w:before="0" w:after="240"/>
        <w:ind w:left="0" w:right="0" w:firstLine="94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u w:val="single"/>
        </w:rPr>
        <w:t>Perfection Representations</w:t>
      </w:r>
      <w:r>
        <w:rPr>
          <w:rFonts w:ascii="Times New Roman;sans-serif" w:hAnsi="Times New Roman;sans-serif"/>
          <w:b w:val="false"/>
          <w:color w:val="000000"/>
          <w:sz w:val="24"/>
        </w:rPr>
        <w: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1.This Agreement creates a valid and continuing security interest (as defined in the applicable UCC) in the Borrower’s right, title and interest in, to and under the Collateral which (A) security interest has been perfected and is enforceable against creditors of and purchasers from the Borrower and (B) will be free of all Adverse Claims in such Collateral.</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2.The Receivables constitute “accounts” or “payment intangibles” within the meaning of Section 9-102 of the UCC.</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Borrower owns and has good and marketable title to the Collateral free and clear of any Adverse Claim of any Person.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4.All appropriate financing statements, financing statement amendments and continuation statements have been filed in the proper filing office in the appropriate jurisdictions under Applicable Law in order to perfect (and continue the perfection of) the sale or contribution of the Receivables and Related Security from each Originator to the Borrower pursuant to the Purchase and Sale Agreement and the grant by the Borrower of a security interest in the Collateral to the Administrative Agent pursuant to this Agreement.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5.Other than the security interest granted to the Administrative Agent pursuant to this Agreement, the Borrower has not pledged, assigned, sold, granted </w:t>
      </w:r>
      <w:r>
        <w:br w:type="page"/>
      </w:r>
    </w:p>
    <w:p>
      <w:pPr>
        <w:pStyle w:val="TextBody"/>
        <w:spacing w:before="0" w:after="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2100"/>
                <wp:effectExtent l="0" t="0" r="0" b="0"/>
                <wp:wrapNone/>
                <wp:docPr id="114" name="Frame11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security interest in, or otherwise conveyed any of the Collateral except as permitted by this Agreement and the other Transaction Documents. The Borrower has not authorized the filing of and is not aware of any financing statements filed against the Borrower that include a description of collateral covering the Collateral other than any financing statement (i) in favor of the Administrative Agent or (ii) that has been terminated or amended to reflect the release of any security interest in the Collateral. The Borrower is not aware of any judgment lien, ERISA lien or tax lien filings against the Borrower.</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6.Notwithstanding any other provision of this Agreement or any other Transaction Document, the representations contained in this </w:t>
      </w:r>
      <w:r>
        <w:rPr>
          <w:rFonts w:ascii="Times New Roman;sans-serif" w:hAnsi="Times New Roman;sans-serif"/>
          <w:b w:val="false"/>
          <w:color w:val="000000"/>
          <w:sz w:val="24"/>
          <w:u w:val="single"/>
        </w:rPr>
        <w:t>Section 6.01(w)</w:t>
      </w:r>
      <w:r>
        <w:rPr>
          <w:color w:val="000000"/>
        </w:rPr>
        <w:t xml:space="preserve"> </w:t>
      </w:r>
      <w:r>
        <w:rPr>
          <w:rFonts w:ascii="Times New Roman;sans-serif" w:hAnsi="Times New Roman;sans-serif"/>
          <w:b w:val="false"/>
          <w:color w:val="000000"/>
          <w:sz w:val="24"/>
        </w:rPr>
        <w:t>shall be continuing and remain in full force and effect until the Final Payout Date.</w:t>
      </w:r>
    </w:p>
    <w:p>
      <w:pPr>
        <w:pStyle w:val="TextBody"/>
        <w:spacing w:lineRule="auto" w:line="240" w:before="0" w:after="240"/>
        <w:ind w:left="0" w:right="0" w:firstLine="953"/>
        <w:jc w:val="both"/>
        <w:rPr/>
      </w:pPr>
      <w:r>
        <w:rPr>
          <w:rFonts w:ascii="Times New Roman;sans-serif" w:hAnsi="Times New Roman;sans-serif"/>
          <w:b w:val="false"/>
          <w:color w:val="000000"/>
          <w:sz w:val="24"/>
        </w:rPr>
        <w:t>xxiv.</w:t>
      </w:r>
      <w:r>
        <w:rPr>
          <w:rFonts w:ascii="Times New Roman;sans-serif" w:hAnsi="Times New Roman;sans-serif"/>
          <w:b w:val="false"/>
          <w:color w:val="000000"/>
          <w:sz w:val="24"/>
          <w:u w:val="single"/>
        </w:rPr>
        <w:t>The Lock-Boxes and Collection Accounts</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Nature of Collection Accounts</w:t>
      </w:r>
      <w:r>
        <w:rPr>
          <w:rFonts w:ascii="Times New Roman;sans-serif" w:hAnsi="Times New Roman;sans-serif"/>
          <w:b w:val="false"/>
          <w:color w:val="000000"/>
          <w:sz w:val="24"/>
        </w:rPr>
        <w:t>. Each Collection Account constitutes a “deposit account” within the meaning of the applicable UCC.</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Ownership</w:t>
      </w:r>
      <w:r>
        <w:rPr>
          <w:rFonts w:ascii="Times New Roman;sans-serif" w:hAnsi="Times New Roman;sans-serif"/>
          <w:b w:val="false"/>
          <w:color w:val="000000"/>
          <w:sz w:val="24"/>
        </w:rPr>
        <w:t>. Each Lock-Box and Collection Account is in the name of the Borrower, and the Borrower owns and has good and marketable title to the Collection Accounts free and clear of any Adverse Claim.</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Perfection</w:t>
      </w:r>
      <w:r>
        <w:rPr>
          <w:rFonts w:ascii="Times New Roman;sans-serif" w:hAnsi="Times New Roman;sans-serif"/>
          <w:b w:val="false"/>
          <w:color w:val="000000"/>
          <w:sz w:val="24"/>
        </w:rPr>
        <w:t>. The Borrower has delivered to the Administrative Agent a fully executed Account Control Agreement relating to each Lock-Box and Collection Account, pursuant to which each applicable Collection Account Bank has agreed to comply with the instructions originated by the Administrative Agent directing the disposition of funds in such Lock-Box and Collection Account without further consent by the Borrower, the Servicer or any other Person. The Administrative Agent has “control” (as defined in Section 9-104 of the UCC) over each Collection Account.</w:t>
      </w:r>
    </w:p>
    <w:p>
      <w:pPr>
        <w:pStyle w:val="TextBody"/>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Instructions</w:t>
      </w:r>
      <w:r>
        <w:rPr>
          <w:rFonts w:ascii="Times New Roman;sans-serif" w:hAnsi="Times New Roman;sans-serif"/>
          <w:b w:val="false"/>
          <w:color w:val="000000"/>
          <w:sz w:val="24"/>
        </w:rPr>
        <w:t>. Neither the Lock-Boxes nor the Collection Accounts are in the name of any Person other than the Borrower. Neither the Borrower nor the Servicer has consented to the applicable Collection Account Bank complying with instructions of any Person other than the Administrative Agent.</w:t>
      </w:r>
    </w:p>
    <w:p>
      <w:pPr>
        <w:pStyle w:val="TextBody"/>
        <w:spacing w:lineRule="auto" w:line="240" w:before="0" w:after="240"/>
        <w:ind w:left="0" w:right="0" w:firstLine="1020"/>
        <w:jc w:val="both"/>
        <w:rPr/>
      </w:pPr>
      <w:r>
        <w:rPr>
          <w:rFonts w:ascii="Times New Roman;sans-serif" w:hAnsi="Times New Roman;sans-serif"/>
          <w:b w:val="false"/>
          <w:color w:val="000000"/>
          <w:sz w:val="24"/>
        </w:rPr>
        <w:t>xxv.</w:t>
      </w:r>
      <w:r>
        <w:rPr>
          <w:rFonts w:ascii="Times New Roman;sans-serif" w:hAnsi="Times New Roman;sans-serif"/>
          <w:b w:val="false"/>
          <w:color w:val="000000"/>
          <w:sz w:val="24"/>
          <w:u w:val="single"/>
        </w:rPr>
        <w:t>Ordinary Course of Business. Each remittance of Collections by or on behalf of the Borrower to the Credit Parties under this Agreement will have been (i) in payment of a debt incurred by the Borrower in the ordinary course of business or financial affairs of the Borrower and (ii) made in the ordinary course of business or financial affairs of the Borrower.</w:t>
      </w:r>
    </w:p>
    <w:p>
      <w:pPr>
        <w:pStyle w:val="TextBody"/>
        <w:spacing w:lineRule="auto" w:line="240" w:before="0" w:after="240"/>
        <w:ind w:left="0" w:right="0" w:firstLine="953"/>
        <w:jc w:val="both"/>
        <w:rPr/>
      </w:pPr>
      <w:r>
        <w:rPr>
          <w:rFonts w:ascii="Times New Roman;sans-serif" w:hAnsi="Times New Roman;sans-serif"/>
          <w:b w:val="false"/>
          <w:color w:val="000000"/>
          <w:sz w:val="24"/>
        </w:rPr>
        <w:t>xxvi.</w:t>
      </w:r>
      <w:r>
        <w:rPr>
          <w:rFonts w:ascii="Times New Roman;sans-serif" w:hAnsi="Times New Roman;sans-serif"/>
          <w:b w:val="false"/>
          <w:color w:val="000000"/>
          <w:sz w:val="24"/>
          <w:u w:val="single"/>
        </w:rPr>
        <w:t>Tax Status</w:t>
      </w:r>
      <w:r>
        <w:rPr>
          <w:rFonts w:ascii="Times New Roman;sans-serif" w:hAnsi="Times New Roman;sans-serif"/>
          <w:b w:val="false"/>
          <w:color w:val="000000"/>
          <w:sz w:val="24"/>
        </w:rPr>
        <w:t>. The Borrower (i) is, and shall at all relevant times continue to be, a “disregarded entity” within the meaning of U.S. Treasury Regulation § 301.7701-3 for U.S. federal income tax purposes and (ii) is not and will not at any relevant time become an association (or publicly traded partnership) taxable as an association for U.S. federal income tax purposes.</w:t>
      </w:r>
    </w:p>
    <w:p>
      <w:pPr>
        <w:pStyle w:val="TextBody"/>
        <w:spacing w:lineRule="auto" w:line="240" w:before="0" w:after="240"/>
        <w:ind w:left="0" w:right="0" w:firstLine="887"/>
        <w:jc w:val="both"/>
        <w:rPr/>
      </w:pPr>
      <w:r>
        <w:rPr>
          <w:rFonts w:ascii="Times New Roman;sans-serif" w:hAnsi="Times New Roman;sans-serif"/>
          <w:b w:val="false"/>
          <w:color w:val="000000"/>
          <w:sz w:val="24"/>
        </w:rPr>
        <w:t>xxvii.</w:t>
      </w:r>
      <w:r>
        <w:rPr>
          <w:rFonts w:ascii="Times New Roman;sans-serif" w:hAnsi="Times New Roman;sans-serif"/>
          <w:b w:val="false"/>
          <w:color w:val="000000"/>
          <w:sz w:val="24"/>
          <w:u w:val="single"/>
        </w:rPr>
        <w:t>Liquidity Coverage Ratio</w:t>
      </w:r>
      <w:r>
        <w:rPr>
          <w:rFonts w:ascii="Times New Roman;sans-serif" w:hAnsi="Times New Roman;sans-serif"/>
          <w:b w:val="false"/>
          <w:color w:val="000000"/>
          <w:sz w:val="24"/>
        </w:rPr>
        <w:t xml:space="preserve">. The Borrower has not, does not and will not during this Agreement (x) issue any obligations that (A) constitute asset-backed commercial paper, or (B) are securities required to be registered under the Securities Act or that may be offered for sale under Rule 144A or a similar exemption from registration under the Securities Act or the rules promulgated thereunder, or (y) issue any other debt obligations or equity interest other than debt obligations substantially similar to the obligations of the Borrower under this Agreement that are (A) issued to other banks or asset-backed commercial paper conduits in privately negotiated transactions, and (B) subject to transfer restrictions substantially similar to the transfer restrictions set forth in this Agreement. The Borrower further represents and warrants that its </w:t>
      </w:r>
      <w:r>
        <w:br w:type="page"/>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2100"/>
                <wp:effectExtent l="0" t="0" r="0" b="0"/>
                <wp:wrapNone/>
                <wp:docPr id="115" name="Frame11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assets and liabilities are consolidated with the assets and liabilities of Parent for purposes of generally accepted accounting principles.</w:t>
      </w:r>
    </w:p>
    <w:p>
      <w:pPr>
        <w:pStyle w:val="TextBody"/>
        <w:spacing w:lineRule="auto" w:line="240" w:before="0" w:after="240"/>
        <w:ind w:left="0" w:right="0" w:firstLine="820"/>
        <w:jc w:val="both"/>
        <w:rPr/>
      </w:pPr>
      <w:r>
        <w:rPr>
          <w:rFonts w:ascii="Times New Roman;sans-serif" w:hAnsi="Times New Roman;sans-serif"/>
          <w:b w:val="false"/>
          <w:color w:val="000000"/>
          <w:sz w:val="24"/>
        </w:rPr>
        <w:t>xxviii.</w:t>
      </w:r>
      <w:r>
        <w:rPr>
          <w:rFonts w:ascii="Times New Roman;sans-serif" w:hAnsi="Times New Roman;sans-serif"/>
          <w:b w:val="false"/>
          <w:color w:val="000000"/>
          <w:sz w:val="24"/>
          <w:u w:val="single"/>
        </w:rPr>
        <w:t>Reaffirmation of Representations and Warranties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On the date of each Credit Extension, on the date of each Release, on each Settlement Date and on the date each Information Package, Interim Report or other report is delivered to the Administrative Agent or any Group Agent hereunder, the Borrower shall be deemed to have certified that (i) all representations and warranties of the Borrower hereunder are true and correct in all material respects (unless such representations and warranties contain a materiality qualifier, in which case such representations and warranties shall be true and correct as made) on and as of such day as 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Notwithstanding any other provision of this Agreement or any other Transaction Document, the representations and warranties contained in this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shall be continuing, and remain in full force and effect until the Final Payout Date.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Representations and Warranties of the Servicer. The Servicer represents and warrants to each Credit Party as of the Closing Date, on each Settlement Date and on each day on which a Credit Extension shall have occurred:</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Organization and Good Standing</w:t>
      </w:r>
      <w:r>
        <w:rPr>
          <w:rFonts w:ascii="Times New Roman;sans-serif" w:hAnsi="Times New Roman;sans-serif"/>
          <w:b w:val="false"/>
          <w:color w:val="000000"/>
          <w:sz w:val="24"/>
        </w:rPr>
        <w:t>. The Servicer is a duly organized and validly existing limited liability company in good standing under the laws of the State of Delaware and has full power and authority under its organizational documents and under the laws of the State of Delaware to own its properties and to conduct its business as such properties are currently owned and such business is presently conducted.</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Due Qualification.</w:t>
      </w:r>
      <w:r>
        <w:rPr>
          <w:color w:val="000000"/>
        </w:rPr>
        <w:t xml:space="preserve"> </w:t>
      </w:r>
      <w:r>
        <w:rPr>
          <w:rFonts w:ascii="Times New Roman;sans-serif" w:hAnsi="Times New Roman;sans-serif"/>
          <w:b w:val="false"/>
          <w:color w:val="000000"/>
          <w:sz w:val="24"/>
        </w:rPr>
        <w:t>The Servicer is duly qualified to do business, is in good standing as a foreign entity and has obtained all necessary licenses and approvals in all jurisdictions in which the conduct of its business or the servicing of the Pool Receivables as required by this Agreement requires such qualification, licenses or approvals, except where the failure to do so could not reasonably be expected to have a Material Adverse Effect.</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Power and Authority; Due Authorization.</w:t>
      </w:r>
      <w:r>
        <w:rPr>
          <w:color w:val="000000"/>
        </w:rPr>
        <w:t xml:space="preserve"> </w:t>
      </w:r>
      <w:r>
        <w:rPr>
          <w:rFonts w:ascii="Times New Roman;sans-serif" w:hAnsi="Times New Roman;sans-serif"/>
          <w:b w:val="false"/>
          <w:color w:val="000000"/>
          <w:sz w:val="24"/>
        </w:rPr>
        <w:t>The Servicer (i) has all necessary power and authority to (A) execute and deliver this Agreement and the other Transaction Documents to which it is a party and (B) perform its obligations under this Agreement and the other Transaction Documents to which it is a party and (ii) has duly authorized by all necessary action the execution, delivery and performance of, and the consummation of the transactions provided for in, this Agreement and the other Transaction Documents to which it is a party.</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Binding Obligations.</w:t>
      </w:r>
      <w:r>
        <w:rPr>
          <w:color w:val="000000"/>
        </w:rPr>
        <w:t xml:space="preserve"> </w:t>
      </w:r>
      <w:r>
        <w:rPr>
          <w:rFonts w:ascii="Times New Roman;sans-serif" w:hAnsi="Times New Roman;sans-serif"/>
          <w:b w:val="false"/>
          <w:color w:val="000000"/>
          <w:sz w:val="24"/>
        </w:rPr>
        <w:t>This Agreement and each of the other Transaction Documents to which the Servicer is a party constitutes legal, valid and binding obligations of the Servicer, enforceable against the Servicer in accordance with their respective terms, except (i) as such enforceability may be limited by applicable bankruptcy, insolvency, reorganization, moratorium or other similar laws affecting the enforcement of creditors’ rights generally and (ii) as such enforceability may be limited by general principles of equity, regardless of whether such enforceability is considered in a proceeding in equity or at law.</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No Conflict or Violation.</w:t>
      </w:r>
      <w:r>
        <w:rPr>
          <w:color w:val="000000"/>
        </w:rPr>
        <w:t xml:space="preserve"> </w:t>
      </w:r>
      <w:r>
        <w:rPr>
          <w:rFonts w:ascii="Times New Roman;sans-serif" w:hAnsi="Times New Roman;sans-serif"/>
          <w:b w:val="false"/>
          <w:color w:val="000000"/>
          <w:sz w:val="24"/>
        </w:rPr>
        <w:t xml:space="preserve">The execution, delivery and performance of, and the consummation of the transactions contemplated by, this Agreement and the other Transaction </w:t>
      </w:r>
      <w:r>
        <w:br w:type="page"/>
      </w:r>
    </w:p>
    <w:p>
      <w:pPr>
        <w:pStyle w:val="TextBody"/>
        <w:spacing w:before="0" w:after="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2100"/>
                <wp:effectExtent l="0" t="0" r="0" b="0"/>
                <wp:wrapNone/>
                <wp:docPr id="116" name="Frame11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Documents to which the Servicer is a party, and the fulfillment of the terms hereof and thereof, will not (i) conflict with, result in any breach of any of the terms or provisions of, or constitute (with or without notice or lapse of time or both) a default under its organizational documents or any indenture, sale agreement, credit agreement, loan agreement, security agreement, mortgage, deed of trust or other agreement or instrument to which the Servicer is a party or by which it or any of its properties is bound, (ii) result in the creation or imposition of any Adverse Claim upon any of its properties pursuant to the terms of any such indenture, credit agreement, loan agreement, security agreement, mortgage, deed of trust or other agreement or instrument, other than this Agreement and the other Transaction Documents or (iii) conflict with or violate any Applicable Law, except to the extent that any such conflict, breach, default, Adverse Claim or violation could not reasonably be expected to have a Material Adverse Effect.</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Litigation and Other Proceedings.</w:t>
      </w:r>
      <w:r>
        <w:rPr>
          <w:color w:val="000000"/>
        </w:rPr>
        <w:t xml:space="preserve"> </w:t>
      </w:r>
      <w:r>
        <w:rPr>
          <w:rFonts w:ascii="Times New Roman;sans-serif" w:hAnsi="Times New Roman;sans-serif"/>
          <w:b w:val="false"/>
          <w:color w:val="000000"/>
          <w:sz w:val="24"/>
        </w:rPr>
        <w:t xml:space="preserve">(i) There is no action, suit, proceeding or investigation pending or, to the best knowledge of the Servicer, threatened, against the Borrower before any Governmental Authority and (ii) the Servicer is not subject to any order, judgment, decree, injunction, stipulation or consent order of or with any Governmental Authority that, in the case of either of the foregoing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rFonts w:ascii="Times New Roman;sans-serif" w:hAnsi="Times New Roman;sans-serif"/>
          <w:b w:val="false"/>
          <w:color w:val="000000"/>
          <w:sz w:val="24"/>
        </w:rPr>
        <w:t>, (A) asserts the invalidity of this Agreement or any other Transaction Document, (B) seeks to prevent the consummation of any of the transactions contemplated by this Agreement or any other Transaction Document, (C) seeks any determination or ruling that could materially and adversely affect the performance by the Servicer of its obligations under, or the validity or enforceability of, this Agreement or any other Transaction Document or (D) individually or in the aggregate for all such actions, suits, proceedings and investigations could reasonably be expected to have a Material Adverse Effect.</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No Consents.</w:t>
      </w:r>
      <w:r>
        <w:rPr>
          <w:color w:val="000000"/>
        </w:rPr>
        <w:t xml:space="preserve"> </w:t>
      </w:r>
      <w:r>
        <w:rPr>
          <w:rFonts w:ascii="Times New Roman;sans-serif" w:hAnsi="Times New Roman;sans-serif"/>
          <w:b w:val="false"/>
          <w:color w:val="000000"/>
          <w:sz w:val="24"/>
        </w:rPr>
        <w:t>The Servicer is not required to obtain the consent of any other party or any consent, order, license, approval, registration, authorization, action or declaration of or with any Governmental Authority in connection with the due execution, delivery, or performance by the Servicer of this Agreement or any other Transaction Documents to which it is a party or the consummation by the Servicer of the transactions contemplated by this Agreement or any other Transaction Document to which it is a party that has not already been obtained and are in full force and effect or the failure of which to obtain could not reasonably be expected to have a Material Adverse Effect.</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Location of Records.</w:t>
      </w:r>
      <w:r>
        <w:rPr>
          <w:color w:val="000000"/>
        </w:rPr>
        <w:t xml:space="preserve"> </w:t>
      </w:r>
      <w:r>
        <w:rPr>
          <w:rFonts w:ascii="Times New Roman;sans-serif" w:hAnsi="Times New Roman;sans-serif"/>
          <w:b w:val="false"/>
          <w:color w:val="000000"/>
          <w:sz w:val="24"/>
        </w:rPr>
        <w:t>The offices where the initial Servicer keeps all of its records relating to the servicing of the Pool Receivables are located at 311 Enterprise Drive, Plainsboro, New Jersey 08536.</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Investment Company Act</w:t>
      </w:r>
      <w:r>
        <w:rPr>
          <w:rFonts w:ascii="Times New Roman;sans-serif" w:hAnsi="Times New Roman;sans-serif"/>
          <w:b w:val="false"/>
          <w:color w:val="000000"/>
          <w:sz w:val="24"/>
        </w:rPr>
        <w:t xml:space="preserve">. The Servicer is not, and is not controlled by, an “investment company” registered or required to be registered under the Investment Company Act. </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No Material Adverse Effect</w:t>
      </w:r>
      <w:r>
        <w:rPr>
          <w:rFonts w:ascii="Times New Roman;sans-serif" w:hAnsi="Times New Roman;sans-serif"/>
          <w:b w:val="false"/>
          <w:color w:val="000000"/>
          <w:sz w:val="24"/>
        </w:rPr>
        <w:t xml:space="preserve">. Since September 30, 2018, there has been no Material Adverse Effect with respect to the Servicer. </w:t>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Accuracy of Information.</w:t>
      </w:r>
      <w:r>
        <w:rPr>
          <w:color w:val="000000"/>
        </w:rPr>
        <w:t xml:space="preserve"> </w:t>
      </w:r>
      <w:r>
        <w:rPr>
          <w:rFonts w:ascii="Times New Roman;sans-serif" w:hAnsi="Times New Roman;sans-serif"/>
          <w:b w:val="false"/>
          <w:color w:val="000000"/>
          <w:sz w:val="24"/>
        </w:rPr>
        <w:t>All Information Packages, Interim Reports, Loan Requests, certificates, reports, statements, documents and other information, other than financial projections, furnished to the Administrative Agent or any other Credit Party by or on behalf of the Servicer pursuant to any provision of this Agreement or any other Transaction Document, or in connection with or pursuant to any amendment or modification of, or waiver under, this Agreement or any other Transaction Document, are, at the time the same are so furnished, complete and correct in all material respects on the date the same are furnished to the Administrative Agent or such other Credit Party, and do not contain any material misstatement of fact or omit to state a material fact or any fact necessary to make the statements contained therein not misleading.</w:t>
      </w:r>
      <w:r>
        <w:br w:type="page"/>
      </w: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2100"/>
                <wp:effectExtent l="0" t="0" r="0" b="0"/>
                <wp:wrapNone/>
                <wp:docPr id="117" name="Frame11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Anti-Money Laundering/International Trade Law Compliance</w:t>
      </w:r>
      <w:r>
        <w:rPr>
          <w:rFonts w:ascii="Times New Roman;sans-serif" w:hAnsi="Times New Roman;sans-serif"/>
          <w:b w:val="false"/>
          <w:color w:val="000000"/>
          <w:sz w:val="24"/>
        </w:rPr>
        <w:t>. No Covered Entity is a Sanctioned Person. No Covered Entity, either in its own right or through any third party, (i) has any of its assets in a Sanctioned Country or in the possession, custody or control of a Sanctioned Person in violation of any Anti-Terrorism Law; (ii) does business in or with, or derives any of its income from investments in or transactions with, any Sanctioned Country or Sanctioned Person in violation of any Anti-Terrorism Law; or (iii) engages in any dealings or transactions prohibited by any Anti-Terrorism Law.</w:t>
      </w:r>
    </w:p>
    <w:p>
      <w:pPr>
        <w:pStyle w:val="TextBody"/>
        <w:spacing w:lineRule="auto" w:line="240" w:before="0" w:after="240"/>
        <w:ind w:left="0" w:right="0" w:firstLine="10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Transaction Information</w:t>
      </w:r>
      <w:r>
        <w:rPr>
          <w:rFonts w:ascii="Times New Roman;sans-serif" w:hAnsi="Times New Roman;sans-serif"/>
          <w:b w:val="false"/>
          <w:color w:val="000000"/>
          <w:sz w:val="24"/>
        </w:rPr>
        <w:t>. None of the Servicer, any Affiliate of the Servicer or any third party with which the Servicer or any Affiliate thereof has contracted, has delivered, in writing or orally, to any Rating Agency, or monitoring a rating of, any Notes, any Transaction Information without providing such Transaction Information to the applicable Group Agent prior to delivery to such Rating Agency and has not participated in any oral communications with respect to Transaction Information with any Rating Agency without the participation of such Group Agent.</w:t>
      </w:r>
    </w:p>
    <w:p>
      <w:pPr>
        <w:pStyle w:val="TextBody"/>
        <w:spacing w:lineRule="auto" w:line="240" w:before="0" w:after="240"/>
        <w:ind w:left="0" w:right="0" w:firstLine="1073"/>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Compliance with Law</w:t>
      </w:r>
      <w:r>
        <w:rPr>
          <w:rFonts w:ascii="Times New Roman;sans-serif" w:hAnsi="Times New Roman;sans-serif"/>
          <w:b w:val="false"/>
          <w:color w:val="000000"/>
          <w:sz w:val="24"/>
        </w:rPr>
        <w:t>. The Servicer (i) has duly satisfied all obligations on its part to be fulfilled under or in connection with the Pool Receivables and the related Contracts, (ii) has maintained in effect all qualifications required under Applicable Law in order to properly service the Pool Receivables and (iii) has complied in all respects with all Applicable Laws in connection with servicing the Pool Receivables, except to the extent that any such non-satisfaction, non-maintenance or noncompliance could not reasonably be expected to have a Material Adverse Effect.</w:t>
      </w:r>
    </w:p>
    <w:p>
      <w:pPr>
        <w:pStyle w:val="TextBody"/>
        <w:spacing w:lineRule="auto" w:line="240" w:before="0" w:after="240"/>
        <w:ind w:left="0" w:right="0" w:firstLine="114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Eligible Receivables</w:t>
      </w:r>
      <w:r>
        <w:rPr>
          <w:rFonts w:ascii="Times New Roman;sans-serif" w:hAnsi="Times New Roman;sans-serif"/>
          <w:b w:val="false"/>
          <w:color w:val="000000"/>
          <w:sz w:val="24"/>
        </w:rPr>
        <w:t xml:space="preserve">. Each Receivable included as an Eligible Receivable in the calculation of the Net Receivables Pool Balance as of any date is an Eligible Receivable as of such date. </w:t>
      </w:r>
    </w:p>
    <w:p>
      <w:pPr>
        <w:pStyle w:val="TextBody"/>
        <w:spacing w:lineRule="auto" w:line="240" w:before="0" w:after="240"/>
        <w:ind w:left="0" w:right="0" w:firstLine="1073"/>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Servicer has (i) timely filed all tax returns (federal, state and local)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GAAP, except to the extent that any such non-filing or non-payment could not reasonably be expected to have a Material Adverse Effect.</w:t>
      </w:r>
    </w:p>
    <w:p>
      <w:pPr>
        <w:pStyle w:val="TextBody"/>
        <w:spacing w:lineRule="auto" w:line="240" w:before="0" w:after="240"/>
        <w:ind w:left="0" w:right="0" w:firstLine="1007"/>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Opinions</w:t>
      </w:r>
      <w:r>
        <w:rPr>
          <w:rFonts w:ascii="Times New Roman;sans-serif" w:hAnsi="Times New Roman;sans-serif"/>
          <w:b w:val="false"/>
          <w:color w:val="000000"/>
          <w:sz w:val="24"/>
        </w:rPr>
        <w:t>. The facts regarding the Servicer, the Receivables, the Related Security and the related matters set forth or assumed in each of the opinions of counsel delivered in connection with this Agreement and the Transaction Documents are true and correct in all material respects.</w:t>
      </w:r>
    </w:p>
    <w:p>
      <w:pPr>
        <w:pStyle w:val="TextBody"/>
        <w:spacing w:lineRule="auto" w:line="240" w:before="0" w:after="240"/>
        <w:ind w:left="0" w:right="0" w:firstLine="94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Other Transaction Documents</w:t>
      </w:r>
      <w:r>
        <w:rPr>
          <w:rFonts w:ascii="Times New Roman;sans-serif" w:hAnsi="Times New Roman;sans-serif"/>
          <w:b w:val="false"/>
          <w:color w:val="000000"/>
          <w:sz w:val="24"/>
        </w:rPr>
        <w:t>. Each representation and warranty made by the Servicer under each other Transaction Document to which it is a party (including, without limitation, the Purchase and Sale Agreement) is true and correct in all material respects (unless such representation and warranty contains a materiality qualifier, in which case such representation and warranty shall be true and correct as made) as of the date when made, except for any such representation and warranty that applies as to an earlier date (in which case, such representation and warranty shall be true and correct in all material respects (unless such representation and warranty contains a materiality qualifier, in which case such representation and warranty shall be true and correct as made) as of such earlier date).</w:t>
      </w:r>
    </w:p>
    <w:p>
      <w:pPr>
        <w:pStyle w:val="TextBody"/>
        <w:spacing w:lineRule="auto" w:line="240" w:before="0" w:after="240"/>
        <w:ind w:left="0" w:right="0" w:firstLine="1073"/>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No Linked Accounts</w:t>
      </w:r>
      <w:r>
        <w:rPr>
          <w:rFonts w:ascii="Times New Roman;sans-serif" w:hAnsi="Times New Roman;sans-serif"/>
          <w:b w:val="false"/>
          <w:color w:val="000000"/>
          <w:sz w:val="24"/>
        </w:rPr>
        <w:t>. There are no Linked Accounts with respect to any Collection Account.</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2100"/>
                <wp:effectExtent l="0" t="0" r="0" b="0"/>
                <wp:wrapNone/>
                <wp:docPr id="118" name="Frame11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4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Credit and Collection Procedures.</w:t>
      </w:r>
      <w:r>
        <w:rPr>
          <w:color w:val="000000"/>
        </w:rPr>
        <w:t xml:space="preserve"> </w:t>
      </w:r>
      <w:r>
        <w:rPr>
          <w:rFonts w:ascii="Times New Roman;sans-serif" w:hAnsi="Times New Roman;sans-serif"/>
          <w:b w:val="false"/>
          <w:color w:val="000000"/>
          <w:sz w:val="24"/>
        </w:rPr>
        <w:t>The Servicer has complied in all material respects with the Credit and Collection Procedures (or, prior to the existence thereof in documented form, the substance thereof) with regard to each Pool Receivable and the related Contracts.</w:t>
      </w:r>
    </w:p>
    <w:p>
      <w:pPr>
        <w:pStyle w:val="TextBody"/>
        <w:spacing w:lineRule="auto" w:line="240" w:before="0" w:after="240"/>
        <w:ind w:left="0" w:right="0" w:firstLine="1073"/>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u w:val="single"/>
        </w:rPr>
        <w:t>Servicing Programs</w:t>
      </w:r>
      <w:r>
        <w:rPr>
          <w:rFonts w:ascii="Times New Roman;sans-serif" w:hAnsi="Times New Roman;sans-serif"/>
          <w:b w:val="false"/>
          <w:color w:val="000000"/>
          <w:sz w:val="24"/>
        </w:rPr>
        <w:t>. No license or approval is required for the Administrative Agent’s use of any software or other computer program used by the Servicer, any Originator or any Sub-Servicer in the servicing of the Pool Receivables, other than those which have been obtained and are in full force and effect.</w:t>
      </w:r>
    </w:p>
    <w:p>
      <w:pPr>
        <w:pStyle w:val="TextBody"/>
        <w:spacing w:lineRule="auto" w:line="240" w:before="0" w:after="240"/>
        <w:ind w:left="0" w:right="0" w:firstLine="1007"/>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u w:val="single"/>
        </w:rPr>
        <w:t>Servicing of Pool Receivables</w:t>
      </w:r>
      <w:r>
        <w:rPr>
          <w:rFonts w:ascii="Times New Roman;sans-serif" w:hAnsi="Times New Roman;sans-serif"/>
          <w:b w:val="false"/>
          <w:color w:val="000000"/>
          <w:sz w:val="24"/>
        </w:rPr>
        <w:t>. Since the Closing Date, there has been no material adverse change in the ability of the Servicer or any Sub-Servicer to service and collect the Pool Receivables and the Related Security.</w:t>
      </w:r>
    </w:p>
    <w:p>
      <w:pPr>
        <w:pStyle w:val="TextBody"/>
        <w:spacing w:lineRule="auto" w:line="240" w:before="0" w:after="240"/>
        <w:ind w:left="0" w:right="0" w:firstLine="94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u w:val="single"/>
        </w:rPr>
        <w:t>Financial Condition</w:t>
      </w:r>
      <w:r>
        <w:rPr>
          <w:rFonts w:ascii="Times New Roman;sans-serif" w:hAnsi="Times New Roman;sans-serif"/>
          <w:b w:val="false"/>
          <w:color w:val="000000"/>
          <w:sz w:val="24"/>
        </w:rPr>
        <w:t>. The consolidated balance sheets of the Servicer and its consolidated Subsidiaries as of September 30, 2018 and the related statements of income and shareholders’ equity of the Servicer and its consolidated Subsidiaries for the fiscal quarter then ended, copies of which have been furnished to the Administrative Agent and the Group Agents, present fairly in all material respects the consolidated financial position of the Servicer and its consolidated Subsidiaries for the period ended on such date, all in accordance with GAAP.</w:t>
      </w:r>
    </w:p>
    <w:p>
      <w:pPr>
        <w:pStyle w:val="TextBody"/>
        <w:spacing w:lineRule="auto" w:line="240" w:before="0" w:after="240"/>
        <w:ind w:left="0" w:right="0" w:firstLine="953"/>
        <w:jc w:val="both"/>
        <w:rPr/>
      </w:pPr>
      <w:r>
        <w:rPr>
          <w:rFonts w:ascii="Times New Roman;sans-serif" w:hAnsi="Times New Roman;sans-serif"/>
          <w:b w:val="false"/>
          <w:color w:val="000000"/>
          <w:sz w:val="24"/>
        </w:rPr>
        <w:t>xxiv.</w:t>
      </w:r>
      <w:r>
        <w:rPr>
          <w:rFonts w:ascii="Times New Roman;sans-serif" w:hAnsi="Times New Roman;sans-serif"/>
          <w:b w:val="false"/>
          <w:color w:val="000000"/>
          <w:sz w:val="24"/>
          <w:u w:val="single"/>
        </w:rPr>
        <w:t>Reaffirmation of Representations and Warranties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On the date of each Credit Extension, on the date of each Release, on each Settlement Date and on the date each Information Package, Interim Report or other report is delivered to the Administrative Agent or any Group Agent hereunder, the Servicer shall be deemed to have certified that (i) all representations and warranties of the Servicer hereunder are true and correct in all material respects (unless such representations and warranties contain a materiality qualifier, in which case such representations and warranties shall be true and correct as made) on and as of such day as though made on and as of such day, except for representations and warranties which apply as to an earlier date (in which case such representations and warranties shall be true and correct in all material respects (unless such representations and warranties contain a materiality qualifier, in which case such representations and warranties shall be true and correct as made) as of such date) and (ii) no Event of Default or an Unmatured Event of Default has occurred and is continuing or will result from such Credit Extension or Release.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Notwithstanding any other provision of this Agreement or any other Transaction Document, the representations and warranties contained in this </w:t>
      </w:r>
      <w:r>
        <w:rPr>
          <w:rFonts w:ascii="Times New Roman;sans-serif" w:hAnsi="Times New Roman;sans-serif"/>
          <w:b w:val="false"/>
          <w:color w:val="000000"/>
          <w:sz w:val="24"/>
          <w:u w:val="single"/>
        </w:rPr>
        <w:t>Section 6.02</w:t>
      </w:r>
      <w:r>
        <w:rPr>
          <w:color w:val="000000"/>
        </w:rPr>
        <w:t xml:space="preserve"> </w:t>
      </w:r>
      <w:r>
        <w:rPr>
          <w:rFonts w:ascii="Times New Roman;sans-serif" w:hAnsi="Times New Roman;sans-serif"/>
          <w:b w:val="false"/>
          <w:color w:val="000000"/>
          <w:sz w:val="24"/>
        </w:rPr>
        <w:t>shall be continuing, and remain in full force and effect until the Final Payout Date.</w:t>
      </w:r>
    </w:p>
    <w:p>
      <w:pPr>
        <w:pStyle w:val="TextBody"/>
        <w:spacing w:lineRule="auto" w:line="240" w:before="0" w:after="240"/>
        <w:jc w:val="center"/>
        <w:rPr/>
      </w:pPr>
      <w:r>
        <w:rPr>
          <w:rFonts w:ascii="Times New Roman;sans-serif" w:hAnsi="Times New Roman;sans-serif"/>
          <w:b/>
          <w:color w:val="000000"/>
          <w:sz w:val="24"/>
        </w:rPr>
        <w:t>ARTICLE 7</w:t>
      </w:r>
      <w:r>
        <w:rPr>
          <w:rFonts w:ascii="Times New Roman;sans-serif" w:hAnsi="Times New Roman;sans-serif"/>
          <w:b/>
          <w:color w:val="000000"/>
          <w:sz w:val="24"/>
        </w:rPr>
        <w:br/>
        <w:br/>
        <w:t>COVENANTS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Covenants of the Borrower. At all times from the Closing Date until the Final Payout Date:</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Payment of Principal and Interest</w:t>
      </w:r>
      <w:r>
        <w:rPr>
          <w:rFonts w:ascii="Times New Roman;sans-serif" w:hAnsi="Times New Roman;sans-serif"/>
          <w:b w:val="false"/>
          <w:color w:val="000000"/>
          <w:sz w:val="24"/>
        </w:rPr>
        <w:t>. The Borrower shall duly and punctually pay Capital, Interest, Fees and all other amounts payable by the Borrower hereunder in accordance with the terms of this Agreement.</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xml:space="preserve">. The Borrower shall keep in full force and effect its existence and rights as a limited liability company under the laws of the State of Delaware, and shall obtain and preserve its qualification to do business in each jurisdiction in which such qualification is or shall </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2100"/>
                <wp:effectExtent l="0" t="0" r="0" b="0"/>
                <wp:wrapNone/>
                <wp:docPr id="119" name="Frame11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 necessary to protect the validity and enforceability of this Agreement, the other Transaction Documents and the Collateral.</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The Borrower will maintain a system of accounting established and administered in accordance with GAAP, and the Borrower (or the Servicer on its behalf) shall furnish to the Administrative Agent and each Group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Annual Financial Statements of the Borrower</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Promptly upon completion and in no event later than ninety (90) calendar days after the close of each fiscal year of the Borrower (or, if applicable, the date on which the financial statements describe in </w:t>
      </w:r>
      <w:r>
        <w:rPr>
          <w:rFonts w:ascii="Times New Roman;sans-serif" w:hAnsi="Times New Roman;sans-serif"/>
          <w:b w:val="false"/>
          <w:color w:val="000000"/>
          <w:sz w:val="24"/>
          <w:u w:val="single"/>
        </w:rPr>
        <w:t>Section 7.01(c)(v)</w:t>
      </w:r>
      <w:r>
        <w:rPr>
          <w:color w:val="000000"/>
        </w:rPr>
        <w:t xml:space="preserve"> </w:t>
      </w:r>
      <w:r>
        <w:rPr>
          <w:rFonts w:ascii="Times New Roman;sans-serif" w:hAnsi="Times New Roman;sans-serif"/>
          <w:b w:val="false"/>
          <w:color w:val="000000"/>
          <w:sz w:val="24"/>
        </w:rPr>
        <w:t>are delivered), annual unaudited financial statements of the Borrower certified by a Financial Officer of the Borrower that they fairly present in all material respects, in accordance with GAAP, the financial condition of the Borrower as of the date indicated and the results of its operations for the periods indicated.</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Information Packages and Interim Reports</w:t>
      </w:r>
      <w:r>
        <w:rPr>
          <w:rFonts w:ascii="Times New Roman;sans-serif" w:hAnsi="Times New Roman;sans-serif"/>
          <w:b w:val="false"/>
          <w:color w:val="000000"/>
          <w:sz w:val="24"/>
        </w:rPr>
        <w:t xml:space="preserve">. As soon as available and in any event not later than two (2) Business Days prior to each Settlement Date, an Information Package as of the most recently completed Fiscal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upon the occurrence of a Specific Reporting Event and ten (10) Business Days’ prior written notice from the Administrative Agent, the Borrower shall furnish or cause to be furnished to the Administrative Agent and each Group Agent a weekly (or on a more frequent basis as indicated in the written notice from the Administrative Agent) Interim Report with respect to the Pool Receivables with data as of the close of business on the Business Day preceding the date on which such Interim Report is delivered;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at any time after the occurrence and during the continuance of an Event of Default, the Administrative Agent may specify in such notice that such Interim Report be furnished to the Administrative Agent and each Group Agent on a more frequent basis until the Administrative Agent gives notices otherwise.</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Other Information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Such other information relating to the Borrower or the Pool Receivables (including non-financial information) as the Administrative Agent or any Group Agent may from time to time reasonably request.</w:t>
      </w:r>
    </w:p>
    <w:p>
      <w:pPr>
        <w:pStyle w:val="TextBody"/>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Quarterly Financial Statements of Parent</w:t>
      </w:r>
      <w:r>
        <w:rPr>
          <w:rFonts w:ascii="Times New Roman;sans-serif" w:hAnsi="Times New Roman;sans-serif"/>
          <w:b w:val="false"/>
          <w:color w:val="000000"/>
          <w:sz w:val="24"/>
        </w:rPr>
        <w:t>. As soon as available and in no event later than forty five (45) calendar days following the end of each of the first three fiscal quarters in each of Parent’s fiscal years (or, if applicable, the date on which such financial statements are required to be filed with the SEC), (i) the unaudited consolidated balance sheet and statements of income of Parent and its consolidated Subsidiaries as at the end of such fiscal quarter and the related unaudited consolidated statements of earnings and cash flows for such fiscal quarter and for the elapsed portion of the fiscal year ended with the last day of such fiscal quarter, in each case setting forth comparative figures for the corresponding fiscal quarter in the prior fiscal year, all of which shall be certified by a Financial Officer of Parent that they fairly present in all material respects, in accordance with GAAP, the financial condition of Parent and its consolidated Subsidiaries as of the dates indicated and the results of their operations for the periods indicated, subject to normal year-end audit adjustments and the absence of footnotes and (ii) management’s discussion and analysis of the important operational and financial developments during such fiscal quarter.</w:t>
      </w:r>
    </w:p>
    <w:p>
      <w:pPr>
        <w:pStyle w:val="TextBody"/>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Annual Financial Statements of Parent</w:t>
      </w:r>
      <w:r>
        <w:rPr>
          <w:rFonts w:ascii="Times New Roman;sans-serif" w:hAnsi="Times New Roman;sans-serif"/>
          <w:b w:val="false"/>
          <w:color w:val="000000"/>
          <w:sz w:val="24"/>
        </w:rPr>
        <w:t xml:space="preserve">. Within ninety (90) calendar days after the close of each of Parent’s fiscal years (or, if applicable, the date on which such financial statements are required to be filed with the SEC), the consolidated balance sheet of Parent and its consolidated Subsidiaries as at the end of such fiscal year and the related consolidated statements of earnings and cash flows for such fiscal year </w:t>
      </w:r>
      <w:r>
        <w:br w:type="page"/>
      </w:r>
    </w:p>
    <w:p>
      <w:pPr>
        <w:pStyle w:val="TextBody"/>
        <w:spacing w:before="0" w:after="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2100"/>
                <wp:effectExtent l="0" t="0" r="0" b="0"/>
                <wp:wrapNone/>
                <wp:docPr id="120" name="Frame12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setting forth comparative figures for the preceding fiscal year, all reported on by independent certified public accountants of recognized national standing (without a “going concern” or like qualification or exception) to the effect that such consolidated financial statements present fairly in all material respects, in accordance with GAAP, the financial condition of Parent and its consolidated Subsidiaries as of the dates indicated and the results of their operations for the periods indicated.</w:t>
      </w:r>
    </w:p>
    <w:p>
      <w:pPr>
        <w:pStyle w:val="TextBody"/>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Other Reports and Filings</w:t>
      </w:r>
      <w:r>
        <w:rPr>
          <w:rFonts w:ascii="Times New Roman;sans-serif" w:hAnsi="Times New Roman;sans-serif"/>
          <w:b w:val="false"/>
          <w:color w:val="000000"/>
          <w:sz w:val="24"/>
        </w:rPr>
        <w:t xml:space="preserve">. Promptly (but in any event within ten (10) calendar days) after the filing or delivery thereof, copies of all financial information, proxy materials and reports not otherwise delivered pursuant to </w:t>
      </w:r>
      <w:r>
        <w:rPr>
          <w:rFonts w:ascii="Times New Roman;sans-serif" w:hAnsi="Times New Roman;sans-serif"/>
          <w:b w:val="false"/>
          <w:color w:val="000000"/>
          <w:sz w:val="24"/>
          <w:u w:val="single"/>
        </w:rPr>
        <w:t>Sections 7.01(c)(i)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 xml:space="preserve">above, if any, which Parent or any of its consolidated Subsidiaries shall publicly file with the SEC or deliver to holders (or any trustee, agent or other representative therefor) of any of its material Debt pursuant to the terms of the documentation governing the same. </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7.Notwithstanding anything herein to the contrary, any financial information, proxy statements or other material required to be delivered pursuant to this </w:t>
      </w:r>
      <w:r>
        <w:rPr>
          <w:rFonts w:ascii="Times New Roman;sans-serif" w:hAnsi="Times New Roman;sans-serif"/>
          <w:b w:val="false"/>
          <w:color w:val="000000"/>
          <w:sz w:val="24"/>
          <w:u w:val="single"/>
        </w:rPr>
        <w:t>Section 7.01(c)</w:t>
      </w:r>
      <w:r>
        <w:rPr>
          <w:color w:val="000000"/>
        </w:rPr>
        <w:t xml:space="preserve"> </w:t>
      </w:r>
      <w:r>
        <w:rPr>
          <w:rFonts w:ascii="Times New Roman;sans-serif" w:hAnsi="Times New Roman;sans-serif"/>
          <w:b w:val="false"/>
          <w:color w:val="000000"/>
          <w:sz w:val="24"/>
        </w:rPr>
        <w:t>shall be deemed to have been furnished to each of the Administrative Agent and each Group Agent on the date that such report, proxy statement or other material is posted on the SEC’s website at www.sec.gov.</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The Borrower (or the Servicer on its behalf) will notify the Administrative Agent and each Group Agent in writing of any of the following events promptly upon (but in no event later than five (5) Business Days after) a Financial Officer or other officer learning of the occurrence thereof, with such notice describing the same, and if applicable, the steps being taken by the Person(s) affected with respect thereto:</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Notice of Events of Default or Unmatured Events of Default</w:t>
      </w:r>
      <w:r>
        <w:rPr>
          <w:rFonts w:ascii="Times New Roman;sans-serif" w:hAnsi="Times New Roman;sans-serif"/>
          <w:b w:val="false"/>
          <w:color w:val="000000"/>
          <w:sz w:val="24"/>
        </w:rPr>
        <w:t>. A statement of a Financial Officer of the Borrower setting forth details of any Event of Default or Unmatured Event of Default that has occurred and is continuing and the action which the Borrower proposes to take with respect thereto.</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The failure of any representation or warranty made or deemed to be made by the Borrower under this Agreement or any other Transaction Document to be true and correct in any material respect when made.</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 institution of any litigation, arbitration proceeding or governmental proceeding on any Integra Party, which with respect to any Person other than the Borrower, could reasonably be expected to have a Material Adverse Effect.</w:t>
      </w:r>
    </w:p>
    <w:p>
      <w:pPr>
        <w:pStyle w:val="TextBody"/>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Adverse Claim</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Name Changes</w:t>
      </w:r>
      <w:r>
        <w:rPr>
          <w:rFonts w:ascii="Times New Roman;sans-serif" w:hAnsi="Times New Roman;sans-serif"/>
          <w:b w:val="false"/>
          <w:color w:val="000000"/>
          <w:sz w:val="24"/>
        </w:rPr>
        <w:t>. At least ten (10) Business Days before any change in any Originator’s or the Borrower’s name, jurisdiction of organization or any other change requiring the amendment of UCC financing statements, a notice setting forth such changes and the effective date thereof.</w:t>
      </w:r>
    </w:p>
    <w:p>
      <w:pPr>
        <w:pStyle w:val="TextBody"/>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Change in Accountants or Accounting Policy</w:t>
      </w:r>
      <w:r>
        <w:rPr>
          <w:rFonts w:ascii="Times New Roman;sans-serif" w:hAnsi="Times New Roman;sans-serif"/>
          <w:b w:val="false"/>
          <w:color w:val="000000"/>
          <w:sz w:val="24"/>
        </w:rPr>
        <w:t xml:space="preserve">. Any change in (i) the external accountants of any Integra Party, (ii) any accounting policy of the Borrower </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2100"/>
                <wp:effectExtent l="0" t="0" r="0" b="0"/>
                <wp:wrapNone/>
                <wp:docPr id="121" name="Frame12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spacing w:lineRule="auto" w:line="240"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Notice of Purchase and Sale Termination Event or Unmatured Purchase and Sale Termination Event</w:t>
      </w:r>
      <w:r>
        <w:rPr>
          <w:rFonts w:ascii="Times New Roman;sans-serif" w:hAnsi="Times New Roman;sans-serif"/>
          <w:b w:val="false"/>
          <w:color w:val="000000"/>
          <w:sz w:val="24"/>
        </w:rPr>
        <w:t>. The occurrence of a Purchase and Sale Termination Event or an Unmatured Purchase and Sale Termination Event under the Purchase and Sale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 xml:space="preserve">Material Adverse Change. Promptly after the occurrence thereof, notice of any material adverse change in the business, operations, property or financial or other condition of </w:t>
      </w:r>
      <w:r>
        <w:rPr>
          <w:rFonts w:ascii="Times New Roman;sans-serif" w:hAnsi="Times New Roman;sans-serif"/>
          <w:b w:val="false"/>
          <w:color w:val="000000"/>
          <w:sz w:val="24"/>
        </w:rPr>
        <w:t>any Integra Party</w:t>
      </w:r>
      <w:r>
        <w:rPr>
          <w:color w:val="000000"/>
          <w:u w:val="single"/>
        </w:rPr>
        <w:t xml:space="preserve"> </w:t>
      </w:r>
      <w:r>
        <w:rPr>
          <w:rFonts w:ascii="Times New Roman;sans-serif" w:hAnsi="Times New Roman;sans-serif"/>
          <w:b w:val="false"/>
          <w:color w:val="000000"/>
          <w:sz w:val="24"/>
          <w:u w:val="single"/>
        </w:rPr>
        <w:t xml:space="preserve">(including, without limitation, a change to the Credit and Collection </w:t>
      </w:r>
      <w:r>
        <w:rPr>
          <w:rFonts w:ascii="Times New Roman;sans-serif" w:hAnsi="Times New Roman;sans-serif"/>
          <w:b w:val="false"/>
          <w:color w:val="000000"/>
          <w:sz w:val="24"/>
        </w:rPr>
        <w:t>Procedures</w:t>
      </w:r>
      <w:r>
        <w:rPr>
          <w:rFonts w:ascii="Times New Roman;sans-serif" w:hAnsi="Times New Roman;sans-serif"/>
          <w:b w:val="false"/>
          <w:color w:val="000000"/>
          <w:sz w:val="24"/>
          <w:u w:val="single"/>
        </w:rPr>
        <w:t>).</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The Borrower will carry on and conduct its business in substantially the same manner and in substantially the same fields of enterprise as it is presently conducted, and will do all things necessary to remain duly organized, validly existing and in good standing as a domestic organization in its jurisdiction of organization and maintain all requisite authority to conduct its business in each jurisdiction in which its business is conducted.</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Borrower will comply with all Applicable Laws to which it may be subject if the failure to comply could reasonably be expected to have a Material Adverse Effect.</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Furnishing of Information and Inspection of Receivables</w:t>
      </w:r>
      <w:r>
        <w:rPr>
          <w:rFonts w:ascii="Times New Roman;sans-serif" w:hAnsi="Times New Roman;sans-serif"/>
          <w:b w:val="false"/>
          <w:color w:val="000000"/>
          <w:sz w:val="24"/>
        </w:rPr>
        <w:t xml:space="preserve">. The Borrower will furnish or cause to be furnished to the Administrative Agent and each Group Agent from time to time such information with respect to the Pool Receivables and the other Collateral as the Administrative Agent or any Group Agent may reasonably request. The Borrower will, (i) at the Borrower’s expense, during regular business hours with prior written notice, permit the Administrative Agent and each Group Agent or their respective agents or representatives to (A) examine and make copies of and abstracts from all books and records relating to the Pool Receivables or other Collateral, (B) visit the offices and properties of the Borrower for the purpose of examining such books and records and (C) discuss matters relating to the Pool Receivables, the other Collateral or the Borrower’s performance hereunder or under the other Transaction Documents to which it is a party with any of the officers, directors, employees or independent public accountants of the Borrower having knowledge of such matters and (ii) without limiting the provisions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during regular business hours, at the Borrower’s expense, upon prior written notice from the Administrative Agent, permit certified public accountants or other auditors acceptable to the Administrative Agent to conduct a review of its books and records with respect to the Pool Receivables and other Collateral;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Borrower shall be required to reimburse the Administrative Agent for only one (1) such review pursuant to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above in any twelve-month period, unless an Event of Default has occurred and is continuing.</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Payments on Receivables, Collection Accounts</w:t>
      </w:r>
      <w:r>
        <w:rPr>
          <w:rFonts w:ascii="Times New Roman;sans-serif" w:hAnsi="Times New Roman;sans-serif"/>
          <w:b w:val="false"/>
          <w:color w:val="000000"/>
          <w:sz w:val="24"/>
        </w:rPr>
        <w:t xml:space="preserve">. The Borrower (or the Servicer on its behalf) will, and will cause each Originator to, at all times, instruct all Obligors to deliver payments on the Pool Receivables to a Collection Account or a Lock-Box. The Borrower (or the Servicer on its behalf) will, and will cause each Originator to, at all times, maintain such books and records as are necessary to identify Collections received from time to time on Pool 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the Group Agents and the other Secured Parties and promptly (but in any </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2100"/>
                <wp:effectExtent l="0" t="0" r="0" b="0"/>
                <wp:wrapNone/>
                <wp:docPr id="122" name="Frame12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event within two (2) Business Days after receipt) remit such funds into a Collection Account. The Borrower (or the Servicer on its behalf) will cause each Collection Account Bank to comply with the terms of each applicable Account Control Agreement. The Borrower shall not permit funds other than Collections on Pool Receivables and other Collateral to be deposited into any Collection Account. If such funds are nevertheless deposited into any Collection Account, the Borrower (or the Servicer on its behalf) shall, within two (2) Business Days, (x) identify and transfer such funds to the appropriate Person entitled to such funds and (y) instruct such Person to no longer deposit any such funds into any such Collection Account. The Borrower will not, and will not permit the Servicer, any Originator or any other Person to commingle Collections or other funds to which the Administrative Agent, any Group Agent or any other Secured Party is entitled, with any other funds. The Borrower shall only add a Collection Account (or a related Lock-Box) or a Collection Account Bank to those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Borrower shall only terminate a Collection Account Bank or close a Collection Account (or a related Lock-Box) with the prior written consent of the Administrative Agent.</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Sales, Liens, etc.</w:t>
      </w:r>
      <w:r>
        <w:rPr>
          <w:color w:val="000000"/>
        </w:rPr>
        <w:t xml:space="preserve"> </w:t>
      </w:r>
      <w:r>
        <w:rPr>
          <w:rFonts w:ascii="Times New Roman;sans-serif" w:hAnsi="Times New Roman;sans-serif"/>
          <w:b w:val="false"/>
          <w:color w:val="000000"/>
          <w:sz w:val="24"/>
        </w:rPr>
        <w:t>Except as otherwise provided herein, the Borrower will not sell, assign (by operation of law or otherwise) or otherwise dispose of, or create or suffer to exist any Adverse Claim upon (including, without limitation, the filing of any financing statement) or with respect to, any Pool Receivable or other Collateral, or assign any right to receive income in respect thereof.</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Extension or Amendment of Pool Receivables</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Except as otherwise permitted in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the Borrower will not, and will not permit the Servicer to, alter the delinquency status or adjust the Outstanding Balance or otherwise modify the terms of any Pool Receivable in any respect, or amend, modify or waive, in any respect, any term or condition of any related Contract that could have a Material Adverse Effect. The Borrower shall at its expense, timely and fully perform and comply in all material respects with all provisions, covenants and other promises required to be observed by it under the Contracts related to the Pool Receivables, and timely and fully comply with the Credit and Collection Procedures with regard to each Pool Receivable and the related Contract.</w:t>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 xml:space="preserve">Change in Credit and Collection </w:t>
      </w:r>
      <w:r>
        <w:rPr>
          <w:rFonts w:ascii="Times New Roman;sans-serif" w:hAnsi="Times New Roman;sans-serif"/>
          <w:b w:val="false"/>
          <w:color w:val="000000"/>
          <w:sz w:val="24"/>
        </w:rPr>
        <w:t>Procedures. The Borrower will not make any change that could be reasonably expected to have a Material Adverse Effect in the Credit and Collection Procedures without the prior written consent of the Administrative Agent and the Majority Group Agents. Promptly following any change in the Credit and Collection Procedures, the Borrower will deliver a copy of the updated Credit and Collection Procedures to the Administrative Agent and each Lender.</w:t>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The Borrower shall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p>
    <w:p>
      <w:pPr>
        <w:pStyle w:val="TextBody"/>
        <w:spacing w:lineRule="auto" w:line="240" w:before="0" w:after="240"/>
        <w:ind w:left="0" w:right="0" w:firstLine="10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Identifying of Records</w:t>
      </w:r>
      <w:r>
        <w:rPr>
          <w:rFonts w:ascii="Times New Roman;sans-serif" w:hAnsi="Times New Roman;sans-serif"/>
          <w:b w:val="false"/>
          <w:color w:val="000000"/>
          <w:sz w:val="24"/>
        </w:rPr>
        <w:t xml:space="preserve">. The Borrower shall: (i) identify (or cause the Servicer to identify) its master data processing records relating to Pool Receivables and related Contracts with a legend that indicates that the Pool Receivables have been pledged in accordance with this </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92100"/>
                <wp:effectExtent l="0" t="0" r="0" b="0"/>
                <wp:wrapNone/>
                <wp:docPr id="123" name="Frame12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Agreement and (ii) cause each Originator so to identify its master data processing records with such a legend.</w:t>
      </w:r>
    </w:p>
    <w:p>
      <w:pPr>
        <w:pStyle w:val="TextBody"/>
        <w:spacing w:lineRule="auto" w:line="240" w:before="0" w:after="240"/>
        <w:ind w:left="0" w:right="0" w:firstLine="1073"/>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The Borrower shall not (and shall not permit the Servicer or any Sub-Servicer to) add, replace or terminate any Collection Account (or any related Lock-Box) or make any change in its (or their)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spacing w:lineRule="auto" w:line="240" w:before="0" w:after="240"/>
        <w:ind w:left="0" w:right="0" w:firstLine="114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Security Interest, Etc.</w:t>
      </w:r>
      <w:r>
        <w:rPr>
          <w:color w:val="000000"/>
        </w:rPr>
        <w:t xml:space="preserve"> </w:t>
      </w:r>
      <w:r>
        <w:rPr>
          <w:rFonts w:ascii="Times New Roman;sans-serif" w:hAnsi="Times New Roman;sans-serif"/>
          <w:b w:val="false"/>
          <w:color w:val="000000"/>
          <w:sz w:val="24"/>
        </w:rPr>
        <w:t>The Borrower shall (and shall cause the Servicer to), at its expense, take all action necessary or reasonably desirable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Borrower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Borrower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Borrower to file such financing statements under the UCC without the signature of the Borrower, any Originator or the Administrative Agent where allowed by Applicable Law. Notwithstanding anything else in the Transaction Documents to the contrary, the Borrower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spacing w:lineRule="auto" w:line="240" w:before="0" w:after="240"/>
        <w:ind w:left="0" w:right="0" w:firstLine="1073"/>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Further Assurances; Change in Name or Jurisdiction of Origination, etc.</w:t>
      </w:r>
      <w:r>
        <w:rPr>
          <w:color w:val="000000"/>
        </w:rPr>
        <w:t xml:space="preserve"> </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1.The Borrower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Borrower hereby authorizes, and will, upon the request of the Administrative Agent, at the Borrower’s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92100"/>
                <wp:effectExtent l="0" t="0" r="0" b="0"/>
                <wp:wrapNone/>
                <wp:docPr id="124" name="Frame12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2.The Borrower authorizes the Administrative Agent to file financing statements, continuation statements and amendments thereto and assignments thereof, relating to the Receivables, the Related Security, the related Contracts, Collections with respect thereto and the other Collateral without the signature of the Borrower. A photocopy or other reproduction of this Agreement shall be sufficient as a financing statement where permitted by law.</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Borrower shall at all times be organized under the laws of the State of Delaware and shall not take any action to change its jurisdiction of organization.</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4.The Borrower will not change its name, location, identity or corporate structure unless (x) the Borrower, at its own expense, shall have taken all action necessary or appropriate to perfect or maintain the perfection of the security interest under this Agreement (including, without limitation, the filing of all financing statements and the taking of such other action as the Administrative Agent may request in connection with such change or relocation) and (y) if requested by the Administrative Agent, the </w:t>
      </w:r>
      <w:r>
        <w:rPr>
          <w:rFonts w:ascii="Times New Roman;sans-serif" w:hAnsi="Times New Roman;sans-serif"/>
          <w:b w:val="false"/>
          <w:color w:val="000000"/>
          <w:sz w:val="24"/>
          <w:u w:val="single"/>
        </w:rPr>
        <w:t>Borrower</w:t>
      </w:r>
      <w:r>
        <w:rPr>
          <w:color w:val="000000"/>
        </w:rPr>
        <w:t xml:space="preserve"> </w:t>
      </w:r>
      <w:r>
        <w:rPr>
          <w:rFonts w:ascii="Times New Roman;sans-serif" w:hAnsi="Times New Roman;sans-serif"/>
          <w:b w:val="false"/>
          <w:color w:val="000000"/>
          <w:sz w:val="24"/>
        </w:rPr>
        <w:t>shall cause to be delivered to the Administrative Agent, an opinion, in form and substance satisfactory to the Administrative Agent as to such UCC perfection and priority matters as the Administrative Agent may request at such time.</w:t>
      </w:r>
    </w:p>
    <w:p>
      <w:pPr>
        <w:pStyle w:val="TextBody"/>
        <w:spacing w:lineRule="auto" w:line="240" w:before="0" w:after="240"/>
        <w:ind w:left="0" w:right="0" w:firstLine="1007"/>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Transaction Information</w:t>
      </w:r>
      <w:r>
        <w:rPr>
          <w:rFonts w:ascii="Times New Roman;sans-serif" w:hAnsi="Times New Roman;sans-serif"/>
          <w:b w:val="false"/>
          <w:color w:val="000000"/>
          <w:sz w:val="24"/>
        </w:rPr>
        <w:t>. None of the Borrower, any Affiliate of the Borrower or any third party with which the Borrower or any Affiliate thereof has contracted, shall deliver, in 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spacing w:lineRule="auto" w:line="240" w:before="0" w:after="240"/>
        <w:ind w:left="0" w:right="0" w:firstLine="940"/>
        <w:jc w:val="both"/>
        <w:rPr/>
      </w:pPr>
      <w:r>
        <w:rPr>
          <w:rFonts w:ascii="Times New Roman;sans-serif" w:hAnsi="Times New Roman;sans-serif"/>
          <w:b w:val="false"/>
          <w:color w:val="000000"/>
          <w:sz w:val="24"/>
        </w:rPr>
        <w:t>xviii.</w:t>
      </w:r>
      <w:r>
        <w:rPr>
          <w:rFonts w:ascii="Times New Roman;sans-serif" w:hAnsi="Times New Roman;sans-serif"/>
          <w:b w:val="false"/>
          <w:color w:val="000000"/>
          <w:sz w:val="24"/>
          <w:u w:val="single"/>
        </w:rPr>
        <w:t>Anti-Money Laundering/International Trade Law Compliance</w:t>
      </w:r>
      <w:r>
        <w:rPr>
          <w:rFonts w:ascii="Times New Roman;sans-serif" w:hAnsi="Times New Roman;sans-serif"/>
          <w:b w:val="false"/>
          <w:color w:val="000000"/>
          <w:sz w:val="24"/>
        </w:rPr>
        <w:t>. The Borrower will not become a Sanctioned Person.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proceeds of any Credit Extension to fund any operations in, finance any investments or activities in, or, make any payments to, a Sanctioned Country or Sanctioned Person in violation of any Anti-Terrorism Law. The funds used to repay each Credit Extension will not be derived from any unlawful activity. The Borrower shall comply with all Anti-Terrorism Laws. The Borrower shall promptly notify the Administrative Agent and each Lender in writing upon the occurrence of a Reportable Compliance Event. The Borrower has not used and will not use the proceeds of any Credit Extension to fund any operations in, finance any investments or activities in or make any payments to, a Sanctioned Person or a Sanctioned Country.</w:t>
      </w:r>
    </w:p>
    <w:p>
      <w:pPr>
        <w:pStyle w:val="TextBody"/>
        <w:spacing w:lineRule="auto" w:line="240" w:before="0" w:after="240"/>
        <w:ind w:left="0" w:right="0" w:firstLine="1073"/>
        <w:jc w:val="both"/>
        <w:rPr/>
      </w:pPr>
      <w:r>
        <w:rPr>
          <w:rFonts w:ascii="Times New Roman;sans-serif" w:hAnsi="Times New Roman;sans-serif"/>
          <w:b w:val="false"/>
          <w:color w:val="000000"/>
          <w:sz w:val="24"/>
        </w:rPr>
        <w:t>xix.</w:t>
      </w:r>
      <w:r>
        <w:rPr>
          <w:rFonts w:ascii="Times New Roman;sans-serif" w:hAnsi="Times New Roman;sans-serif"/>
          <w:b w:val="false"/>
          <w:color w:val="000000"/>
          <w:sz w:val="24"/>
          <w:u w:val="single"/>
        </w:rPr>
        <w:t>Borrower’s Tax Status</w:t>
      </w:r>
      <w:r>
        <w:rPr>
          <w:rFonts w:ascii="Times New Roman;sans-serif" w:hAnsi="Times New Roman;sans-serif"/>
          <w:b w:val="false"/>
          <w:color w:val="000000"/>
          <w:sz w:val="24"/>
        </w:rPr>
        <w:t>. The Borrower will remain a wholly-owned subsidiary of a United States person (within the meaning of Section 7701(a)(30) of the Code) and not be subject to withholding under Section 1446 of the Code. The Borrower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pStyle w:val="TextBody"/>
        <w:spacing w:lineRule="auto" w:line="240" w:before="0" w:after="240"/>
        <w:ind w:left="0" w:right="0" w:firstLine="1140"/>
        <w:jc w:val="both"/>
        <w:rPr/>
      </w:pPr>
      <w:r>
        <w:rPr>
          <w:rFonts w:ascii="Times New Roman;sans-serif" w:hAnsi="Times New Roman;sans-serif"/>
          <w:b w:val="false"/>
          <w:color w:val="000000"/>
          <w:sz w:val="24"/>
        </w:rPr>
        <w:t>xx.</w:t>
      </w:r>
      <w:r>
        <w:rPr>
          <w:rFonts w:ascii="Times New Roman;sans-serif" w:hAnsi="Times New Roman;sans-serif"/>
          <w:b w:val="false"/>
          <w:color w:val="000000"/>
          <w:sz w:val="24"/>
          <w:u w:val="single"/>
        </w:rPr>
        <w:t>Fundamental Changes</w:t>
      </w:r>
      <w:r>
        <w:rPr>
          <w:rFonts w:ascii="Times New Roman;sans-serif" w:hAnsi="Times New Roman;sans-serif"/>
          <w:b w:val="false"/>
          <w:color w:val="000000"/>
          <w:sz w:val="24"/>
        </w:rPr>
        <w:t xml:space="preserve">. The Borrower shall not, without the prior written consent of the Administrative Agent and the Majority Group Agents, permit (i) itself to merge, divide or consolidate with or into, or convey, transfer, lease or otherwise dispose of (whether in one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2100"/>
                <wp:effectExtent l="0" t="0" r="0" b="0"/>
                <wp:wrapNone/>
                <wp:docPr id="125" name="Frame12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or in a series of transactions) all or substantially all of its assets (whether now owned or hereafter acquired) to, any Person or (ii) itself to be directly owned by any Person other than an Originator or (iii) any of its issued and outstanding Capital Stock or any of its other equity interests to become subject to any Adverse Claims. The Borrower shall provide the Administrative Agent with at least ten (10) Business Days’ prior written notice before making any change in the Borrower’s name or location or making any other change in the Borrower’s identity or corporate structure that could impair or otherwise render any UCC financing statement filed in connection with this Agreement or any other Transaction Document “seriously misleading” as such term (or similar term) is used in the applicable UCC; each notice to the Administrative Agent and the Group Agents pursuant to this sentence shall set forth the applicable change and the proposed effective date thereof.</w:t>
      </w:r>
    </w:p>
    <w:p>
      <w:pPr>
        <w:pStyle w:val="TextBody"/>
        <w:spacing w:lineRule="auto" w:line="240" w:before="0" w:after="240"/>
        <w:ind w:left="0" w:right="0" w:firstLine="1073"/>
        <w:jc w:val="both"/>
        <w:rPr/>
      </w:pPr>
      <w:r>
        <w:rPr>
          <w:rFonts w:ascii="Times New Roman;sans-serif" w:hAnsi="Times New Roman;sans-serif"/>
          <w:b w:val="false"/>
          <w:color w:val="000000"/>
          <w:sz w:val="24"/>
        </w:rPr>
        <w:t>xxi.</w:t>
      </w:r>
      <w:r>
        <w:rPr>
          <w:rFonts w:ascii="Times New Roman;sans-serif" w:hAnsi="Times New Roman;sans-serif"/>
          <w:b w:val="false"/>
          <w:color w:val="000000"/>
          <w:sz w:val="24"/>
          <w:u w:val="single"/>
        </w:rPr>
        <w:t>Certain Agreements</w:t>
      </w:r>
      <w:r>
        <w:rPr>
          <w:rFonts w:ascii="Times New Roman;sans-serif" w:hAnsi="Times New Roman;sans-serif"/>
          <w:b w:val="false"/>
          <w:color w:val="000000"/>
          <w:sz w:val="24"/>
        </w:rPr>
        <w:t>. Without the prior written consent of the Administrative Agent and the Majority Group Agents, the Borrower will not (and will not permit any Originator or the Servicer to) amend, modify, waive, revoke or terminate any Transaction Document to which it is a party or any provision of the Borrower’s organizational documents which requires the consent of the “Independent Director” (as such term is used in the Borrower’s Certificate of Formation and Limited Liability Company Agreement).</w:t>
      </w:r>
    </w:p>
    <w:p>
      <w:pPr>
        <w:pStyle w:val="TextBody"/>
        <w:spacing w:lineRule="auto" w:line="240" w:before="0" w:after="240"/>
        <w:ind w:left="0" w:right="0" w:firstLine="1007"/>
        <w:jc w:val="both"/>
        <w:rPr/>
      </w:pPr>
      <w:r>
        <w:rPr>
          <w:rFonts w:ascii="Times New Roman;sans-serif" w:hAnsi="Times New Roman;sans-serif"/>
          <w:b w:val="false"/>
          <w:color w:val="000000"/>
          <w:sz w:val="24"/>
        </w:rPr>
        <w:t>xxii.</w:t>
      </w:r>
      <w:r>
        <w:rPr>
          <w:rFonts w:ascii="Times New Roman;sans-serif" w:hAnsi="Times New Roman;sans-serif"/>
          <w:b w:val="false"/>
          <w:color w:val="000000"/>
          <w:sz w:val="24"/>
          <w:u w:val="single"/>
        </w:rPr>
        <w:t>Restricted Payments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1.Except pursuant to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below, the Borrower will not: (A) purchase or </w:t>
      </w:r>
      <w:r>
        <w:rPr>
          <w:rFonts w:ascii="Times New Roman;sans-serif" w:hAnsi="Times New Roman;sans-serif"/>
          <w:b w:val="false"/>
          <w:color w:val="000000"/>
          <w:sz w:val="24"/>
          <w:u w:val="single"/>
        </w:rPr>
        <w:t>redeem</w:t>
      </w:r>
      <w:r>
        <w:rPr>
          <w:color w:val="000000"/>
        </w:rPr>
        <w:t xml:space="preserve"> </w:t>
      </w:r>
      <w:r>
        <w:rPr>
          <w:rFonts w:ascii="Times New Roman;sans-serif" w:hAnsi="Times New Roman;sans-serif"/>
          <w:b w:val="false"/>
          <w:color w:val="000000"/>
          <w:sz w:val="24"/>
        </w:rPr>
        <w:t xml:space="preserve">any of its membership interests, (B) declare or pay any dividend or set aside any funds for any such purpose, (C) prepay, purchase or redeem any Debt, (D) lend or advance any funds or (E) repay any loans or advances to, for or from any of its Affiliates (the amounts described in </w:t>
      </w:r>
      <w:r>
        <w:rPr>
          <w:rFonts w:ascii="Times New Roman;sans-serif" w:hAnsi="Times New Roman;sans-serif"/>
          <w:b w:val="false"/>
          <w:color w:val="000000"/>
          <w:sz w:val="24"/>
          <w:u w:val="single"/>
        </w:rPr>
        <w:t>clauses (A)</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(E)</w:t>
      </w:r>
      <w:r>
        <w:rPr>
          <w:color w:val="000000"/>
        </w:rPr>
        <w:t xml:space="preserve"> </w:t>
      </w:r>
      <w:r>
        <w:rPr>
          <w:rFonts w:ascii="Times New Roman;sans-serif" w:hAnsi="Times New Roman;sans-serif"/>
          <w:b w:val="false"/>
          <w:color w:val="000000"/>
          <w:sz w:val="24"/>
        </w:rPr>
        <w:t>being referred to as “</w:t>
      </w:r>
      <w:r>
        <w:rPr>
          <w:rFonts w:ascii="Times New Roman;sans-serif" w:hAnsi="Times New Roman;sans-serif"/>
          <w:b w:val="false"/>
          <w:color w:val="000000"/>
          <w:sz w:val="24"/>
          <w:u w:val="single"/>
        </w:rPr>
        <w:t>Restricted Payments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2.Subject to the limitations set forth in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below, the Borrower may make Restricted Payments so long as such Restricted Payments are made only in one or more of the following ways: (A) the Borrower may make cash payments (including prepayments) on the Subordinated Notes in accordance with their respective terms and (B) the Borrower may declare and pay dividends if, in both cases, both immediately before and immediately after giving effect thereto, the Borrower’s Net Worth is not less than the Required Capital Amount.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3.The Borrower may make Restricted Payments only out of the funds, if any, it receives pursuant to </w:t>
      </w:r>
      <w:r>
        <w:rPr>
          <w:rFonts w:ascii="Times New Roman;sans-serif" w:hAnsi="Times New Roman;sans-serif"/>
          <w:b w:val="false"/>
          <w:color w:val="000000"/>
          <w:sz w:val="24"/>
          <w:u w:val="single"/>
        </w:rPr>
        <w:t>Sections 3.01</w:t>
      </w:r>
      <w:r>
        <w:rPr>
          <w:color w:val="000000"/>
        </w:rPr>
        <w:t xml:space="preserve"> </w:t>
      </w:r>
      <w:r>
        <w:rPr>
          <w:rFonts w:ascii="Times New Roman;sans-serif" w:hAnsi="Times New Roman;sans-serif"/>
          <w:b w:val="false"/>
          <w:color w:val="000000"/>
          <w:sz w:val="24"/>
        </w:rPr>
        <w:t xml:space="preserve">of this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Borrower shall not pay, make or declare any Restricted Payment (including any dividend) if, after giving effect thereto, any Event of Default or Unmatured Event of Default shall have occurred and be continuing.</w:t>
      </w:r>
    </w:p>
    <w:p>
      <w:pPr>
        <w:pStyle w:val="TextBody"/>
        <w:spacing w:lineRule="auto" w:line="240" w:before="0" w:after="240"/>
        <w:ind w:left="0" w:right="0" w:firstLine="940"/>
        <w:jc w:val="both"/>
        <w:rPr/>
      </w:pPr>
      <w:r>
        <w:rPr>
          <w:rFonts w:ascii="Times New Roman;sans-serif" w:hAnsi="Times New Roman;sans-serif"/>
          <w:b w:val="false"/>
          <w:color w:val="000000"/>
          <w:sz w:val="24"/>
        </w:rPr>
        <w:t>xxiii.</w:t>
      </w:r>
      <w:r>
        <w:rPr>
          <w:rFonts w:ascii="Times New Roman;sans-serif" w:hAnsi="Times New Roman;sans-serif"/>
          <w:b w:val="false"/>
          <w:color w:val="000000"/>
          <w:sz w:val="24"/>
          <w:u w:val="single"/>
        </w:rPr>
        <w:t>Other Business</w:t>
      </w:r>
      <w:r>
        <w:rPr>
          <w:rFonts w:ascii="Times New Roman;sans-serif" w:hAnsi="Times New Roman;sans-serif"/>
          <w:b w:val="false"/>
          <w:color w:val="000000"/>
          <w:sz w:val="24"/>
        </w:rPr>
        <w:t>. The Borrower will not: (i) engage in any business other than the transactions contemplated by the Transaction Documents, (ii) create, incur or permit to exist any Debt of any kind (or cause or permit to be issued for its account any letters of credit) or bankers’ acceptances, in the aggregate in excess of fifteen thousand dollars ($15,000), other than pursuant to this Agreement or the Subordinated Notes or (iii) form any Subsidiary or make any investments in any other Person.</w:t>
      </w:r>
    </w:p>
    <w:p>
      <w:pPr>
        <w:pStyle w:val="TextBody"/>
        <w:spacing w:lineRule="auto" w:line="240" w:before="0" w:after="240"/>
        <w:ind w:left="0" w:right="0" w:firstLine="953"/>
        <w:jc w:val="both"/>
        <w:rPr/>
      </w:pPr>
      <w:r>
        <w:rPr>
          <w:rFonts w:ascii="Times New Roman;sans-serif" w:hAnsi="Times New Roman;sans-serif"/>
          <w:b w:val="false"/>
          <w:color w:val="000000"/>
          <w:sz w:val="24"/>
        </w:rPr>
        <w:t>xxiv.</w:t>
      </w:r>
      <w:r>
        <w:rPr>
          <w:rFonts w:ascii="Times New Roman;sans-serif" w:hAnsi="Times New Roman;sans-serif"/>
          <w:b w:val="false"/>
          <w:color w:val="000000"/>
          <w:sz w:val="24"/>
          <w:u w:val="single"/>
        </w:rPr>
        <w:t>Use of Collections Available to the Borrower</w:t>
      </w:r>
      <w:r>
        <w:rPr>
          <w:rFonts w:ascii="Times New Roman;sans-serif" w:hAnsi="Times New Roman;sans-serif"/>
          <w:b w:val="false"/>
          <w:color w:val="000000"/>
          <w:sz w:val="24"/>
        </w:rPr>
        <w:t>. The Borrower shall apply the Collections available to the Borrower to make payments in the following order of priority: (i) the payment of its obligations under this Agreement and each of the other Transaction Documents (other than the Subordinated Notes), (ii) the payment of accrued and unpaid interest on the Subordinated Notes and (iii) other legal and valid purposes.</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92100"/>
                <wp:effectExtent l="0" t="0" r="0" b="0"/>
                <wp:wrapNone/>
                <wp:docPr id="126" name="Frame12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020"/>
        <w:jc w:val="both"/>
        <w:rPr/>
      </w:pPr>
      <w:r>
        <w:rPr>
          <w:rFonts w:ascii="Times New Roman;sans-serif" w:hAnsi="Times New Roman;sans-serif"/>
          <w:b w:val="false"/>
          <w:color w:val="000000"/>
          <w:sz w:val="24"/>
        </w:rPr>
        <w:t>xxv.</w:t>
      </w:r>
      <w:r>
        <w:rPr>
          <w:rFonts w:ascii="Times New Roman;sans-serif" w:hAnsi="Times New Roman;sans-serif"/>
          <w:b w:val="false"/>
          <w:color w:val="000000"/>
          <w:sz w:val="24"/>
          <w:u w:val="single"/>
        </w:rPr>
        <w:t>Borrower’s Net Worth</w:t>
      </w:r>
      <w:r>
        <w:rPr>
          <w:rFonts w:ascii="Times New Roman;sans-serif" w:hAnsi="Times New Roman;sans-serif"/>
          <w:b w:val="false"/>
          <w:color w:val="000000"/>
          <w:sz w:val="24"/>
        </w:rPr>
        <w:t>. The Borrower shall not permit the Borrower’s Net Worth to be less than the Required Capital Amount.</w:t>
      </w:r>
    </w:p>
    <w:p>
      <w:pPr>
        <w:pStyle w:val="TextBody"/>
        <w:spacing w:lineRule="auto" w:line="240" w:before="0" w:after="240"/>
        <w:ind w:left="0" w:right="0" w:firstLine="953"/>
        <w:jc w:val="both"/>
        <w:rPr/>
      </w:pPr>
      <w:r>
        <w:rPr>
          <w:rFonts w:ascii="Times New Roman;sans-serif" w:hAnsi="Times New Roman;sans-serif"/>
          <w:b w:val="false"/>
          <w:color w:val="000000"/>
          <w:sz w:val="24"/>
        </w:rPr>
        <w:t>xxvi.</w:t>
      </w:r>
      <w:r>
        <w:rPr>
          <w:rFonts w:ascii="Times New Roman;sans-serif" w:hAnsi="Times New Roman;sans-serif"/>
          <w:b w:val="false"/>
          <w:color w:val="000000"/>
          <w:sz w:val="24"/>
          <w:u w:val="single"/>
        </w:rPr>
        <w:t>Post-Closing Actions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1.At any time on or after the Closing Date and within five (5) Business Days after receipt of the initial field examination report from CBIZ, Inc. by the Administrative Agent, the Administrative Agent may propose one or more amendments to this Agreement in order to (A) amend or otherwise modify, or change (directly or indirectly) the definitions of Defaulted Receivable, Delinquent Receivable, Eligible Receivable, Excess Concentration, Net Receivables Pool Balance, Adjusted Net Receivables Pool Balance, or Total Reserves, or any other term referenced in such definitions but not expressly listed hereunder; (B) increase the then existing Concentration Percentage for any Obligor; or (C) change the calculation of the Borrowing Base, in each case to reflect the findings of the initial field examination (the “</w:t>
      </w:r>
      <w:r>
        <w:rPr>
          <w:rFonts w:ascii="Times New Roman;sans-serif" w:hAnsi="Times New Roman;sans-serif"/>
          <w:b w:val="false"/>
          <w:color w:val="000000"/>
          <w:sz w:val="24"/>
          <w:u w:val="single"/>
        </w:rPr>
        <w:t>Proposed Amendments</w:t>
      </w:r>
      <w:r>
        <w:rPr>
          <w:color w:val="000000"/>
        </w:rPr>
        <w:t>”</w:t>
      </w:r>
      <w:r>
        <w:rPr>
          <w:rFonts w:ascii="Times New Roman;sans-serif" w:hAnsi="Times New Roman;sans-serif"/>
          <w:b w:val="false"/>
          <w:color w:val="000000"/>
          <w:sz w:val="24"/>
        </w:rPr>
        <w:t>). The parties shall use commercially reasonable efforts to agree on the form and substance of any such Proposed Amendments, and to enter into a written amendment to this Agreement giving effect to the Proposed Amendments, not later than ten (10) Business Days following the Administrative Agent’s proposal. The Borrower shall not be entitled to submit any new Loan Requests until the Proposed Amendments, if requested, are entered into. If the parties are unable to agree on all or any part of the Proposed Amendments, then a Termination Date shall automatically occur on the earlier of (A) the eleventh (11th) Business Day following the Administrative Agent’s proposal or (B) the date the Borrower notifies the Administrative Agent in writing that it will not agree to the Proposed Amendments.</w:t>
      </w:r>
    </w:p>
    <w:p>
      <w:pPr>
        <w:pStyle w:val="TextBody"/>
        <w:spacing w:lineRule="auto" w:line="240" w:before="0" w:after="240"/>
        <w:ind w:left="0" w:right="0" w:firstLine="1440"/>
        <w:jc w:val="both"/>
        <w:rPr/>
      </w:pPr>
      <w:r>
        <w:rPr>
          <w:rFonts w:ascii="Times New Roman;sans-serif" w:hAnsi="Times New Roman;sans-serif"/>
          <w:b w:val="false"/>
          <w:color w:val="000000"/>
          <w:sz w:val="24"/>
        </w:rPr>
        <w:t>2.On or prior to January 31, 2019 (the “</w:t>
      </w:r>
      <w:r>
        <w:rPr>
          <w:rFonts w:ascii="Times New Roman;sans-serif" w:hAnsi="Times New Roman;sans-serif"/>
          <w:b w:val="false"/>
          <w:color w:val="000000"/>
          <w:sz w:val="24"/>
          <w:u w:val="single"/>
        </w:rPr>
        <w:t>Post Closing Due Date</w:t>
      </w:r>
      <w:r>
        <w:rPr>
          <w:color w:val="000000"/>
        </w:rPr>
        <w:t>”</w:t>
      </w:r>
      <w:r>
        <w:rPr>
          <w:rFonts w:ascii="Times New Roman;sans-serif" w:hAnsi="Times New Roman;sans-serif"/>
          <w:b w:val="false"/>
          <w:color w:val="000000"/>
          <w:sz w:val="24"/>
        </w:rPr>
        <w:t xml:space="preserve">), the Borrower shall (A) enter into and deliver an executed copy of the applicable Account Control Agreement with respect to each Collection Account Bank and (B) take all further actions, that may be necessary or desirable, or that the Administrative Agent may reasonably request in connection with the immediately preceding clause (A) (including, but not limited to the delivery of executed copies of the opinions of counsel that would have been required had any such Account Control Agreement been executed and delivered on the Closing Date), in each case, in form and substance satisfactory to the Administrative Agent and the Majority Group Agents;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Post-Closing Due Date may be extended upon the written consent of the Administrative Agent (which may be via e-mail).</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Covenants of the Servicer. At all times from the Closing Date until the Final Payout Date:</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Existence</w:t>
      </w:r>
      <w:r>
        <w:rPr>
          <w:rFonts w:ascii="Times New Roman;sans-serif" w:hAnsi="Times New Roman;sans-serif"/>
          <w:b w:val="false"/>
          <w:color w:val="000000"/>
          <w:sz w:val="24"/>
        </w:rPr>
        <w:t>. The Servicer shall keep in full force and effect its existence and rights as a limited liability company under the laws of the State of Delaware, and shall obtain and preserve its qualification to do business in each jurisdiction in which such qualification is or shall be necessary for the conduct of its business or the servicing of the Pool Receivables as required by this Agreement.</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Financial Reporting</w:t>
      </w:r>
      <w:r>
        <w:rPr>
          <w:rFonts w:ascii="Times New Roman;sans-serif" w:hAnsi="Times New Roman;sans-serif"/>
          <w:b w:val="false"/>
          <w:color w:val="000000"/>
          <w:sz w:val="24"/>
        </w:rPr>
        <w:t>. The Servicer will maintain a system of accounting established and administered in accordance with GAAP, and the Servicer shall furnish to the Administrative Agent and each Group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Compliance Certificates</w:t>
      </w:r>
      <w:r>
        <w:rPr>
          <w:rFonts w:ascii="Times New Roman;sans-serif" w:hAnsi="Times New Roman;sans-serif"/>
          <w:b w:val="false"/>
          <w:color w:val="000000"/>
          <w:sz w:val="24"/>
        </w:rPr>
        <w:t xml:space="preserve">. (A) A compliance certificate promptly upon completion of the annual report of the Parent and in no event later than ninety (90) calendar days after the close of each fiscal year of the Parent, in form and substance </w:t>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92100"/>
                <wp:effectExtent l="0" t="0" r="0" b="0"/>
                <wp:wrapNone/>
                <wp:docPr id="127" name="Frame12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substantially similar to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 xml:space="preserve">signed by a Financial Officer of the Servicer stating that no Event of Default or Unmatured Event of Default has occurred and is continuing, or if any Event of Default or Unmatured Event of Default has occurred and is continuing, stating the nature and status thereof and setting forth the current Consolidated Total Leverage Ratio and (B) within thirty (30) calendar days after the close of each fiscal quarter of the Servicer, a compliance certificate in form and substance substantially similar to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signed by a Financial Officer of the Servicer stating that no Event of Default or Unmatured Event of Default has occurred and is continuing, or if any Event of Default or Unmatured Event of Default has occurred and is continuing, stating the nature and status thereof and setting forth the current Consolidated Total Leverage Ratio.</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Information Packages and Interim Reports</w:t>
      </w:r>
      <w:r>
        <w:rPr>
          <w:rFonts w:ascii="Times New Roman;sans-serif" w:hAnsi="Times New Roman;sans-serif"/>
          <w:b w:val="false"/>
          <w:color w:val="000000"/>
          <w:sz w:val="24"/>
        </w:rPr>
        <w:t xml:space="preserve">. As soon as available and in any event not later than two (2) Business Days prior to each Settlement Date, an Information Package as of the most recently completed Fiscal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upon the occurrence of a Specific Reporting Event and ten (10) Business Days’ prior written notice from the Administrative Agent, the Servicer shall furnish or cause to be furnished to the Administrative Agent and each Group Agent a weekly (or on a more frequent basis as indicated in the written notice from the Administrative Agent) Interim Report with respect to the Pool Receivables with data as of the close of business on the Business Day preceding the date on which such Interim Report is delivered;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at any time after the occurrence and during the continuance of an Event of Default, the Administrative Agent may specify in such notice that such Interim Report be furnished to the Administrative Agent and each Group Agent on a more frequent basis until the Administrative Agent gives notices otherwise. </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Other Information</w:t>
      </w:r>
      <w:r>
        <w:rPr>
          <w:rFonts w:ascii="Times New Roman;sans-serif" w:hAnsi="Times New Roman;sans-serif"/>
          <w:b w:val="false"/>
          <w:color w:val="000000"/>
          <w:sz w:val="24"/>
        </w:rPr>
        <w:t xml:space="preserve">. Such other information (including non-financial information) as the Administrative Agent or any Group Agent may from time to time reasonably request relating to any of the Servicer, the Borrower, any Originator, any Obligor or the Pool Receivables. </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4.Notwithstanding anything herein to the contrary, any financial information, proxy statements or other material required to be delivered pursuant to this Section 7.02(b) shall be deemed to have been furnished to each of the Administrative Agent and each Group Agent on the date that such report, proxy statement or other material is posted on the SEC’s website at www.sec.gov.</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The Servicer will notify the Administrative Agent and each Group Agent in writing of any of the following events promptly upon (but in no event later than three (3) Business Days after) a Financial Officer or other officer learning of the occurrence thereof, with such notice describing the same, and if applicable, the steps being taken by the Person(s) affected with respect thereto:</w:t>
      </w:r>
    </w:p>
    <w:p>
      <w:pPr>
        <w:pStyle w:val="TextBody"/>
        <w:spacing w:lineRule="auto" w:line="240" w:before="0" w:after="240"/>
        <w:ind w:left="0" w:right="0" w:firstLine="144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Notice of Events of Default or Unmatured Events of Default</w:t>
      </w:r>
      <w:r>
        <w:rPr>
          <w:rFonts w:ascii="Times New Roman;sans-serif" w:hAnsi="Times New Roman;sans-serif"/>
          <w:b w:val="false"/>
          <w:color w:val="000000"/>
          <w:sz w:val="24"/>
        </w:rPr>
        <w:t>. A statement of a Financial Officer of the Servicer setting forth details of any Event of Default or Unmatured Event of Default that has occurred and is continuing and the action which the Servicer proposes to take with respect thereto.</w:t>
      </w:r>
    </w:p>
    <w:p>
      <w:pPr>
        <w:pStyle w:val="TextBody"/>
        <w:spacing w:lineRule="auto" w:line="240" w:before="0" w:after="240"/>
        <w:ind w:left="0" w:right="0" w:firstLine="144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Representations and Warranties</w:t>
      </w:r>
      <w:r>
        <w:rPr>
          <w:rFonts w:ascii="Times New Roman;sans-serif" w:hAnsi="Times New Roman;sans-serif"/>
          <w:b w:val="false"/>
          <w:color w:val="000000"/>
          <w:sz w:val="24"/>
        </w:rPr>
        <w:t>. The failure of any representation or warranty made or deemed to be made by the Servicer under this Agreement or any other Transaction Document to be true and correct in any material respect when made.</w:t>
      </w:r>
    </w:p>
    <w:p>
      <w:pPr>
        <w:pStyle w:val="TextBody"/>
        <w:spacing w:lineRule="auto" w:line="240" w:before="0" w:after="240"/>
        <w:ind w:left="0" w:right="0" w:firstLine="144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Litigation</w:t>
      </w:r>
      <w:r>
        <w:rPr>
          <w:rFonts w:ascii="Times New Roman;sans-serif" w:hAnsi="Times New Roman;sans-serif"/>
          <w:b w:val="false"/>
          <w:color w:val="000000"/>
          <w:sz w:val="24"/>
        </w:rPr>
        <w:t>. The institution of any litigation, arbitration proceeding or governmental proceeding which could reasonably be expected to have a Material Adverse Effect.</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92100"/>
                <wp:effectExtent l="0" t="0" r="0" b="0"/>
                <wp:wrapNone/>
                <wp:docPr id="128" name="Frame12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Adverse Claim</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 Any Person shall obtain an Adverse Claim upon the Collateral or any portion thereof, (B) any Person other than the Borrower, the Servicer or the Administrative Agent shall obtain any rights or direct any action with respect to any Collection Account (or related Lock-Box) or (C) any Obligor shall receive any change in payment instructions with respect to Pool Receivable(s) from a Person other than the Servicer or the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Name Changes</w:t>
      </w:r>
      <w:r>
        <w:rPr>
          <w:rFonts w:ascii="Times New Roman;sans-serif" w:hAnsi="Times New Roman;sans-serif"/>
          <w:b w:val="false"/>
          <w:color w:val="000000"/>
          <w:sz w:val="24"/>
        </w:rPr>
        <w:t>. At least ten (10) Business Days before any change in any Originator’s or the Borrower’s name, jurisdiction of organization or any other change requiring the amendment of UCC financing statements, a notice setting forth such changes and the effective date thereof.</w:t>
      </w:r>
    </w:p>
    <w:p>
      <w:pPr>
        <w:pStyle w:val="TextBody"/>
        <w:spacing w:lineRule="auto" w:line="240" w:before="0" w:after="240"/>
        <w:ind w:left="0" w:right="0" w:firstLine="144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Change in Accountants or Accounting Policy</w:t>
      </w:r>
      <w:r>
        <w:rPr>
          <w:rFonts w:ascii="Times New Roman;sans-serif" w:hAnsi="Times New Roman;sans-serif"/>
          <w:b w:val="false"/>
          <w:color w:val="000000"/>
          <w:sz w:val="24"/>
        </w:rPr>
        <w:t>. Any change in (i) the external accountants of any Integra Party, (ii) any accounting policy of the Borrower or (iii) any material accounting policy of any Originator that is relevant to the transactions contemplated by this Agreement or any other Transaction Document (it being understood that any change to the manner in which any Originator accounts for the Pool Receivables shall be deemed “material” for such purpose).</w:t>
      </w:r>
    </w:p>
    <w:p>
      <w:pPr>
        <w:pStyle w:val="TextBody"/>
        <w:spacing w:lineRule="auto" w:line="240" w:before="0" w:after="240"/>
        <w:ind w:left="0" w:right="0" w:firstLine="144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Notice of Purchase and Sale Termination Event or Unmatured Purchase and Sale Termination Event. The occurrence of a Purchase and Sale Termination Event or an Unmatured Purchase and Sale Termination Event under the Purchase and Sale Agreement.</w:t>
      </w:r>
    </w:p>
    <w:p>
      <w:pPr>
        <w:pStyle w:val="TextBody"/>
        <w:spacing w:lineRule="auto" w:line="240" w:before="0" w:after="240"/>
        <w:ind w:left="0" w:right="0" w:firstLine="144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Material Adverse Change</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Promptly after the occurrence thereof, notice of any</w:t>
      </w:r>
      <w:r>
        <w:rPr>
          <w:color w:val="000000"/>
        </w:rPr>
        <w:t xml:space="preserve"> </w:t>
      </w:r>
      <w:r>
        <w:rPr>
          <w:rFonts w:ascii="Times New Roman;sans-serif" w:hAnsi="Times New Roman;sans-serif"/>
          <w:b w:val="false"/>
          <w:color w:val="000000"/>
          <w:sz w:val="24"/>
        </w:rPr>
        <w:t xml:space="preserve">material adverse change in the business, operations, property or financial or other condition of any Integra Party </w:t>
      </w:r>
      <w:r>
        <w:rPr>
          <w:rFonts w:ascii="Times New Roman;sans-serif" w:hAnsi="Times New Roman;sans-serif"/>
          <w:b w:val="false"/>
          <w:color w:val="000000"/>
          <w:sz w:val="24"/>
          <w:u w:val="single"/>
        </w:rPr>
        <w:t xml:space="preserve">(including, without limitation, a change to the Credit and Collection </w:t>
      </w:r>
      <w:r>
        <w:rPr>
          <w:rFonts w:ascii="Times New Roman;sans-serif" w:hAnsi="Times New Roman;sans-serif"/>
          <w:b w:val="false"/>
          <w:color w:val="000000"/>
          <w:sz w:val="24"/>
        </w:rPr>
        <w:t>Procedures</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The Servicer will do all things necessary to remain duly organized, validly existing and in good standing as a domestic limited liability company in its jurisdiction of organization and maintain all requisite authority to conduct its business in each jurisdiction in which its business is conducted if the failure to have such authority could reasonably be expected to have a Material Adverse Effect.</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Compliance with Laws</w:t>
      </w:r>
      <w:r>
        <w:rPr>
          <w:rFonts w:ascii="Times New Roman;sans-serif" w:hAnsi="Times New Roman;sans-serif"/>
          <w:b w:val="false"/>
          <w:color w:val="000000"/>
          <w:sz w:val="24"/>
        </w:rPr>
        <w:t>. The Servicer will comply with all Applicable Laws to which it may be subject if the failure to comply could reasonably be expected to have a Material Adverse Effect.</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Furnishing of Information and Inspection of Receivables</w:t>
      </w:r>
      <w:r>
        <w:rPr>
          <w:rFonts w:ascii="Times New Roman;sans-serif" w:hAnsi="Times New Roman;sans-serif"/>
          <w:b w:val="false"/>
          <w:color w:val="000000"/>
          <w:sz w:val="24"/>
        </w:rPr>
        <w:t xml:space="preserve">. The Servicer will furnish or cause to be furnished to the Administrative Agent and each Group Agent from time to time such information with respect to the Pool Receivables and the other Collateral as the Administrative Agent or any Group Agent may reasonably request. The Servicer will, (i) at the Servicer’s expense, during regular business hours with prior written notice, permit the Administrative Agent and each Group Agent or their respective agents or representatives to (A) examine and make copies of and abstracts from all books and records relating to the Pool Receivables or other Collateral, (B) visit the offices and properties of the Servicer for the purpose of examining such books and records and (C) discuss matters relating to the Pool Receivables, the other Collateral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and (ii) without limiting the provisions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above, during regular business hours, at the Servicer’s expense, upon prior written notice from the Administrative Agent, permit certified public accountants or other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92100"/>
                <wp:effectExtent l="0" t="0" r="0" b="0"/>
                <wp:wrapNone/>
                <wp:docPr id="129" name="Frame12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auditors acceptable to the Administrative Agent to conduct a review of its books and records with respect to the Pool Receivables and other Collateral;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Servicer shall be required to reimburse the Administrative Agent for only one (1) such review pursuant to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above in any twelve-month period unless an Event of Default has occurred and is continuing.</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Payments on Receivables, Collection Accounts</w:t>
      </w:r>
      <w:r>
        <w:rPr>
          <w:rFonts w:ascii="Times New Roman;sans-serif" w:hAnsi="Times New Roman;sans-serif"/>
          <w:b w:val="false"/>
          <w:color w:val="000000"/>
          <w:sz w:val="24"/>
        </w:rPr>
        <w:t xml:space="preserve">. The Servicer will at all times, instruct all Obligors to deliver payments on the Pool Receivables to a Collection Account or a Lock-Box. The Servicer will, at all times, maintain such books and records as are necessary to identify Collections received from time to time on Pool Receivables and to segregate such Collections from other property of the Servicer and the Originators. If any payments on the Pool Receivables or other Collections are received by the Borrower, the Servicer or an Originator, it shall hold such payments in trust for the benefit of the Administrative Agent, the Group Agents and the other Secured Parties and promptly (but in any event within two (2) Business Days after receipt) remit such funds into a Collection Account. The Servicer shall not permit funds other than Collections on Pool Receivables and other Collateral to be deposited into any Collection Account. If such funds are nevertheless deposited into any Collection Account, the Servicer shall, within two (2) Business Days, (x) identify and transfer such funds to the appropriate Person entitled to such funds and (y) instruct such Person to no longer deposit any such funds into any such Collection Account. The Servicer will not, and will not permit the Borrower, any Originator or any other Person to commingle Collections or other funds to which the Administrative Agent, any Group Agent or any other Secured Party is entitled, with any other funds. The Servicer shall only add a Collection Account (or a related Lock-Box) or a Collection Account Bank to those listed on </w:t>
      </w:r>
      <w:r>
        <w:rPr>
          <w:rFonts w:ascii="Times New Roman;sans-serif" w:hAnsi="Times New Roman;sans-serif"/>
          <w:b w:val="false"/>
          <w:color w:val="000000"/>
          <w:sz w:val="24"/>
          <w:u w:val="single"/>
        </w:rPr>
        <w:t>Schedule II</w:t>
      </w:r>
      <w:r>
        <w:rPr>
          <w:color w:val="000000"/>
        </w:rPr>
        <w:t xml:space="preserve"> </w:t>
      </w:r>
      <w:r>
        <w:rPr>
          <w:rFonts w:ascii="Times New Roman;sans-serif" w:hAnsi="Times New Roman;sans-serif"/>
          <w:b w:val="false"/>
          <w:color w:val="000000"/>
          <w:sz w:val="24"/>
        </w:rPr>
        <w:t>to this Agreement, if the Administrative Agent has received notice of such addition and an executed and acknowledged copy of an Account Control Agreement (or an amendment thereto) in form and substance acceptable to the Administrative Agent from the applicable Collection Account Bank. The Servicer shall only terminate a Collection Account Bank or close a Collection Account (or a related Lock-Box) with the prior written consent of the Administrative Agent.</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Extension or Amendment of Pool Receivables</w:t>
      </w:r>
      <w:r>
        <w:rPr>
          <w:rFonts w:ascii="Times New Roman;sans-serif" w:hAnsi="Times New Roman;sans-serif"/>
          <w:b w:val="false"/>
          <w:color w:val="000000"/>
          <w:sz w:val="24"/>
        </w:rPr>
        <w:t xml:space="preserve">. Except as otherwise permitted in </w:t>
      </w:r>
      <w:r>
        <w:rPr>
          <w:rFonts w:ascii="Times New Roman;sans-serif" w:hAnsi="Times New Roman;sans-serif"/>
          <w:b w:val="false"/>
          <w:color w:val="000000"/>
          <w:sz w:val="24"/>
          <w:u w:val="single"/>
        </w:rPr>
        <w:t>Section 8.02</w:t>
      </w:r>
      <w:r>
        <w:rPr>
          <w:rFonts w:ascii="Times New Roman;sans-serif" w:hAnsi="Times New Roman;sans-serif"/>
          <w:b w:val="false"/>
          <w:color w:val="000000"/>
          <w:sz w:val="24"/>
        </w:rPr>
        <w:t>, the Servicer will not alter the delinquency status or adjust the Outstanding Balance or otherwise modify the terms of any Pool Receivable in any respect that could have a Material Adverse Effect, or amend, modify or waive, in any material respect, any term or condition of any related Contract. The Servicer shall at its expense, timely and fully perform and comply in all material respects with all provisions, covenants and other promises required to be observed by it under the Contracts related to the Pool Receivables, and timely and fully comply with the Credit and Collection Procedures with regard to each Pool Receivable and the related Contract.</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Change in Credit and Collection Procedures</w:t>
      </w:r>
      <w:r>
        <w:rPr>
          <w:rFonts w:ascii="Times New Roman;sans-serif" w:hAnsi="Times New Roman;sans-serif"/>
          <w:b w:val="false"/>
          <w:color w:val="000000"/>
          <w:sz w:val="24"/>
        </w:rPr>
        <w:t>. The Servicer will comply in all respects with the Credit and Collection Procedures with regard to each Pool Receivable and the related Contracts, except where such noncompliance could reasonably expected to have a Material Adverse Effect. The Servicer will not make any material change in the Credit and Collection Procedures without the prior written consent of the Administrative Agent and the Majority Group Agents. Promptly following any change in the Credit and Collection Procedures, the Servicer will deliver a copy of the updated Credit and Collection Procedures to the Administrative Agent and each Lender.</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The Servicer will maintain and implement administrative and operating procedures (including an ability to recreate records evidencing Pool Receivables and related Contracts in the event of the destruction of the originals thereof), and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w:t>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92100"/>
                <wp:effectExtent l="0" t="0" r="0" b="0"/>
                <wp:wrapNone/>
                <wp:docPr id="130" name="Frame13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Identifying of Records</w:t>
      </w:r>
      <w:r>
        <w:rPr>
          <w:rFonts w:ascii="Times New Roman;sans-serif" w:hAnsi="Times New Roman;sans-serif"/>
          <w:b w:val="false"/>
          <w:color w:val="000000"/>
          <w:sz w:val="24"/>
        </w:rPr>
        <w:t>. The Servicer shall identify its master data processing records relating to Pool Receivables and related Contracts with a legend that indicates that the Pool Receivables have been pledged in accordance with this Agreement.</w:t>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Change in Payment Instructions to Obligors</w:t>
      </w:r>
      <w:r>
        <w:rPr>
          <w:rFonts w:ascii="Times New Roman;sans-serif" w:hAnsi="Times New Roman;sans-serif"/>
          <w:b w:val="false"/>
          <w:color w:val="000000"/>
          <w:sz w:val="24"/>
        </w:rPr>
        <w:t>. The Servicer shall not (and shall not permit any Sub-Servicer to) add, replace or terminate any Collection Account (or any related Lock-Box) or make any change in its instructions to the Obligors regarding payments to be made to the Collection Accounts (or any related Lock-Box), other than any instruction to remit payments to a different Collection Account (or any related Lock-Box), unless the Administrative Agent shall have received (i) prior written notice of such addition, termination or change and (ii) a signed and acknowledged Account Control Agreement (or an amendment thereto) with respect to such new Collection Accounts (or any related Lock-Box) and the Administrative Agent shall have consented to such change in writing.</w:t>
      </w:r>
    </w:p>
    <w:p>
      <w:pPr>
        <w:pStyle w:val="TextBody"/>
        <w:spacing w:lineRule="auto" w:line="240" w:before="0" w:after="240"/>
        <w:ind w:left="0" w:right="0" w:firstLine="10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Security Interest, Etc.</w:t>
      </w:r>
      <w:r>
        <w:rPr>
          <w:color w:val="000000"/>
        </w:rPr>
        <w:t xml:space="preserve"> </w:t>
      </w:r>
      <w:r>
        <w:rPr>
          <w:rFonts w:ascii="Times New Roman;sans-serif" w:hAnsi="Times New Roman;sans-serif"/>
          <w:b w:val="false"/>
          <w:color w:val="000000"/>
          <w:sz w:val="24"/>
        </w:rPr>
        <w:t>The Servicer shall, at its expense, take all action necessary or reasonably desirable to establish and maintain a valid and enforceable first priority perfected security interest in the Collateral, in each case free and clear of any Adverse Claim in favor of the Administrative Agent (on behalf of the Secured Parties), including taking such action to perfect, protect or more fully evidence the security interest of the Administrative Agent (on behalf of the Secured Parties) as the Administrative Agent or any Secured Party may reasonably request. In order to evidence the security interests of the Administrative Agent under this Agreement, the Servicer shall, from time to time take such action, or execute and deliver such instruments as may be necessary (including, without limitation, such actions as are reasonably requested by the Administrative Agent) to maintain and perfect, as a first-priority interest, the Administrative Agent’s security interest in the Receivables, Related Security and Collections. The Servicer shall, from time to time and within the time limits established by law, prepare and present to the Administrative Agent for the Administrative Agent’s authorization and approval, all financing statements, amendments, continuations or initial financing statements in lieu of a continuation statement, or other filings necessary to continue, maintain and perfect the Administrative Agent’s security interest as a first-priority interest. The Administrative Agent’s approval of such filings shall authorize the Servicer to file such financing statements under the UCC without the signature of the Borrower, any Originator or the Administrative Agent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filed in connection with the Transaction Documents, without the prior written consent of the Administrative Agent.</w:t>
      </w:r>
    </w:p>
    <w:p>
      <w:pPr>
        <w:pStyle w:val="TextBody"/>
        <w:spacing w:lineRule="auto" w:line="240" w:before="0" w:after="240"/>
        <w:ind w:left="0" w:right="0" w:firstLine="1073"/>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Further Assurances; Change in Name or Jurisdiction of Origination, etc.</w:t>
      </w:r>
      <w:r>
        <w:rPr>
          <w:color w:val="000000"/>
        </w:rPr>
        <w:t xml:space="preserve"> </w:t>
      </w:r>
      <w:r>
        <w:rPr>
          <w:rFonts w:ascii="Times New Roman;sans-serif" w:hAnsi="Times New Roman;sans-serif"/>
          <w:b w:val="false"/>
          <w:color w:val="000000"/>
          <w:sz w:val="24"/>
        </w:rPr>
        <w:t>The Servicer hereby authorizes and hereby agrees from time to time, at its own expense, promptly to execute (if necessary) and deliver all further instruments and documents, and to take all further actions, that may be necessary or desirable, or that the Administrative Agent may reasonably request, to perfect, protect or more fully evidence the security interest granted pursuant to this Agreement or any other Transaction Document, or to enable the Administrative Agent (on behalf of the Secured Parties) to exercise and enforce the Secured Parties’ rights and remedies under this Agreement or any other Transaction Document. Without limiting the foregoing, the Servicer hereby authorizes, and will, upon the request of the Administrative Agent, at the Servicer’s own expense, execute (if necessary) and file such financing statements or continuation statements, or amendments thereto, and such other instruments and documents, that may be necessary or desirable, or that the Administrative Agent may reasonably request, to perfect, protect or evidence any of the foregoing.</w:t>
      </w:r>
    </w:p>
    <w:p>
      <w:pPr>
        <w:pStyle w:val="TextBody"/>
        <w:spacing w:lineRule="auto" w:line="240" w:before="0" w:after="240"/>
        <w:ind w:left="0" w:right="0" w:firstLine="114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Transaction Information</w:t>
      </w:r>
      <w:r>
        <w:rPr>
          <w:rFonts w:ascii="Times New Roman;sans-serif" w:hAnsi="Times New Roman;sans-serif"/>
          <w:b w:val="false"/>
          <w:color w:val="000000"/>
          <w:sz w:val="24"/>
        </w:rPr>
        <w:t xml:space="preserve">. None of the Servicer, any Affiliate of the Servicer or any third party with which the Servicer or any Affiliate thereof has contracted, shall deliver, in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92100"/>
                <wp:effectExtent l="0" t="0" r="0" b="0"/>
                <wp:wrapNone/>
                <wp:docPr id="131" name="Frame13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writing or orally, to any Rating Agency, any Transaction Information without providing such Transaction Information to the applicable Group Agent prior to delivery to such Rating Agency, and will not participate in any oral communications with respect to Transaction Information with any Rating Agency without the participation of such Group Agent.</w:t>
      </w:r>
    </w:p>
    <w:p>
      <w:pPr>
        <w:pStyle w:val="TextBody"/>
        <w:spacing w:lineRule="auto" w:line="240" w:before="0" w:after="240"/>
        <w:ind w:left="0" w:right="0" w:firstLine="1073"/>
        <w:jc w:val="both"/>
        <w:rPr/>
      </w:pPr>
      <w:r>
        <w:rPr>
          <w:rFonts w:ascii="Times New Roman;sans-serif" w:hAnsi="Times New Roman;sans-serif"/>
          <w:b w:val="false"/>
          <w:color w:val="000000"/>
          <w:sz w:val="24"/>
        </w:rPr>
        <w:t>xvi.</w:t>
      </w:r>
      <w:r>
        <w:rPr>
          <w:rFonts w:ascii="Times New Roman;sans-serif" w:hAnsi="Times New Roman;sans-serif"/>
          <w:b w:val="false"/>
          <w:color w:val="000000"/>
          <w:sz w:val="24"/>
          <w:u w:val="single"/>
        </w:rPr>
        <w:t>Anti-Money Laundering/International Trade Law Compliance</w:t>
      </w:r>
      <w:r>
        <w:rPr>
          <w:rFonts w:ascii="Times New Roman;sans-serif" w:hAnsi="Times New Roman;sans-serif"/>
          <w:b w:val="false"/>
          <w:color w:val="000000"/>
          <w:sz w:val="24"/>
        </w:rPr>
        <w:t>. The Servicer will not become a Sanctioned Person. No Covered Entity, either in its own right or through any third party, will (a) have any of its assets in a Sanctioned Country or in the possession, custody or control of a Sanctioned Person in violation of any Anti-Terrorism Law; (b) do business in or with, or derive any of its income from investments in or transactions with, any Sanctioned Country or Sanctioned Person in violation of any Anti-Terrorism Law; (c) engage in any dealings or transactions prohibited by any Anti-Terrorism Law or (d) use the proceeds of any Credit Extension to fund any operations in, finance any investments or activities in, or, make any payments to, a Sanctioned Country or Sanctioned Person in violation of any Anti-Terrorism Law. The funds used to repay each Credit Extension will not be derived from any unlawful activity. The Servicer shall comply with all Anti-Terrorism Laws. The Servicer shall promptly notify the Administrative Agent and each Lender in writing upon the occurrence of a Reportable Compliance Event.</w:t>
      </w:r>
    </w:p>
    <w:p>
      <w:pPr>
        <w:pStyle w:val="TextBody"/>
        <w:spacing w:lineRule="auto" w:line="240" w:before="0" w:after="240"/>
        <w:ind w:left="0" w:right="0" w:firstLine="1007"/>
        <w:jc w:val="both"/>
        <w:rPr/>
      </w:pPr>
      <w:r>
        <w:rPr>
          <w:rFonts w:ascii="Times New Roman;sans-serif" w:hAnsi="Times New Roman;sans-serif"/>
          <w:b w:val="false"/>
          <w:color w:val="000000"/>
          <w:sz w:val="24"/>
        </w:rPr>
        <w:t>xvii.</w:t>
      </w:r>
      <w:r>
        <w:rPr>
          <w:rFonts w:ascii="Times New Roman;sans-serif" w:hAnsi="Times New Roman;sans-serif"/>
          <w:b w:val="false"/>
          <w:color w:val="000000"/>
          <w:sz w:val="24"/>
          <w:u w:val="single"/>
        </w:rPr>
        <w:t>Borrower’s Tax Status</w:t>
      </w:r>
      <w:r>
        <w:rPr>
          <w:rFonts w:ascii="Times New Roman;sans-serif" w:hAnsi="Times New Roman;sans-serif"/>
          <w:b w:val="false"/>
          <w:color w:val="000000"/>
          <w:sz w:val="24"/>
        </w:rPr>
        <w:t>. The Servicer shall not take or cause any action to be taken that could result in the Borrower (i) being treated other than as a “disregarded entity” within the meaning of U.S. Treasury Regulation § 301.7701-3 for U.S. federal income tax purposes or (ii) becoming an association taxable as a corporation or a publicly traded partnership taxable as a corporation for U.S. federal income tax purposes.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Separate Existence of the Borrower. Each of the Borrower and the Servicer hereby acknowledges that the Secured Parties, the Group Agents and the Administrative Agent are entering into the transactions contemplated by this Agreement and the other Transaction Documents in reliance upon the Borrower’s identity as a legal entity separate from any Originator, the Servicer, the Performance Guarantor and their Affiliates. Therefore, each of the Borrower and Servicer shall take all steps specifically required by this Agreement or reasonably required by the Administrative Agent or any Group Agent to continue the Borrower’s identity as a separate legal entity and to make it apparent to third Persons that the Borrower is an entity with assets and liabilities distinct from those of the Performance Guarantor, the Originators, the Servicer and any other Person, and is not a division of the Performance Guarantor, the Originators, the Servicer, its Affiliates or any other Person. Without limiting the generality of the foregoing and in addition to and consistent with the other covenants set forth herein, each of the Borrower and the Servicer shall take such actions as shall be required in order that:</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Special Purpose Entity</w:t>
      </w:r>
      <w:r>
        <w:rPr>
          <w:rFonts w:ascii="Times New Roman;sans-serif" w:hAnsi="Times New Roman;sans-serif"/>
          <w:b w:val="false"/>
          <w:color w:val="000000"/>
          <w:sz w:val="24"/>
        </w:rPr>
        <w:t>. The Borrower will be a special purpose company whose primary activities are restricted in its Certificate of Formation or Limited Liability Company Agreement to: (i) purchasing or otherwise acquiring from the Originators, owning, holding, collecting, granting security interests or selling interests in, the Collateral, (ii) entering into agreements for the selling, servicing and financing of the Receivables Pool (including the Transaction Documents) and (iii) conducting such other activities as it deems necessary or appropriate to carry out its primary activities.</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No Other Business or Debt</w:t>
      </w:r>
      <w:r>
        <w:rPr>
          <w:rFonts w:ascii="Times New Roman;sans-serif" w:hAnsi="Times New Roman;sans-serif"/>
          <w:b w:val="false"/>
          <w:color w:val="000000"/>
          <w:sz w:val="24"/>
        </w:rPr>
        <w:t>. The Borrower shall not engage in any business or activity except as set forth in this Agreement nor, incur any indebtedness or liability other than as expressly permitted by the Transaction Documents.</w:t>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Independent Director</w:t>
      </w:r>
      <w:r>
        <w:rPr>
          <w:rFonts w:ascii="Times New Roman;sans-serif" w:hAnsi="Times New Roman;sans-serif"/>
          <w:b w:val="false"/>
          <w:color w:val="000000"/>
          <w:sz w:val="24"/>
        </w:rPr>
        <w:t>. Not fewer than one member of the Borrower’s board of directors (the “</w:t>
      </w:r>
      <w:r>
        <w:rPr>
          <w:rFonts w:ascii="Times New Roman;sans-serif" w:hAnsi="Times New Roman;sans-serif"/>
          <w:b w:val="false"/>
          <w:color w:val="000000"/>
          <w:sz w:val="24"/>
          <w:u w:val="single"/>
        </w:rPr>
        <w:t>Independent Director</w:t>
      </w:r>
      <w:r>
        <w:rPr>
          <w:color w:val="000000"/>
        </w:rPr>
        <w:t>”</w:t>
      </w:r>
      <w:r>
        <w:rPr>
          <w:rFonts w:ascii="Times New Roman;sans-serif" w:hAnsi="Times New Roman;sans-serif"/>
          <w:b w:val="false"/>
          <w:color w:val="000000"/>
          <w:sz w:val="24"/>
        </w:rPr>
        <w:t xml:space="preserve">) shall be a natural person who (i) has never been, and shall </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92100"/>
                <wp:effectExtent l="0" t="0" r="0" b="0"/>
                <wp:wrapNone/>
                <wp:docPr id="132" name="Frame13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at no time be, an equityholder, director, officer, manager, member, partner, officer, employee or associate, or any relative of the foregoing, of any member of the Parent Group (as hereinafter defined)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 is not a customer or supplier of any member of the Parent Group (other than his or her service as an Independent Director of the Borrower or an independent director of any other bankruptcy-remote special purpose entity formed for the sole purpose of securitizing, or facilitating the securitization of, financial assets of any member or members of the Parent Group), (iii) is not any member of the immediate family of a person described in </w:t>
      </w:r>
      <w:r>
        <w:rPr>
          <w:rFonts w:ascii="Times New Roman;sans-serif" w:hAnsi="Times New Roman;sans-serif"/>
          <w:b w:val="false"/>
          <w:color w:val="000000"/>
          <w:sz w:val="24"/>
          <w:u w:val="single"/>
        </w:rPr>
        <w:t>(i)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and (iv) has (x) prior experience as an independent director for a corporation or limited liability company whose organizational or charter documents required the unanimous consent of all independent directors thereof before such corporation or limited liability company could consent to the institution of bankruptcy or insolvency proceedings against it or could file a petition seeking relief under any applicable federal or state law relating to bankruptcy and (y) at least three years of employment experience with one or more entities that provide, in the ordinary course of their respective businesses, advisory, management or placement services to issuers of securitization or structured finance instruments, agreements or securities. For purposes of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Parent Group</w:t>
      </w:r>
      <w:r>
        <w:rPr>
          <w:color w:val="000000"/>
        </w:rPr>
        <w:t xml:space="preserve">” </w:t>
      </w:r>
      <w:r>
        <w:rPr>
          <w:rFonts w:ascii="Times New Roman;sans-serif" w:hAnsi="Times New Roman;sans-serif"/>
          <w:b w:val="false"/>
          <w:color w:val="000000"/>
          <w:sz w:val="24"/>
        </w:rPr>
        <w:t xml:space="preserve">shall mean (i) the Parent, the Servicer, the Performance Guarantor and each Originator, (ii) each person that directly or indirectly, owns or controls, whether beneficially, or as a trustee, guardian or other fiduciary, five percent (5%) or more of the membership interests in the Parent, (iii) each person that controls, is controlled by or is under common control with the Parent and (iv) each of such person’s officers, directors, managers, joint venturers and partners. For the purposes of this definition, “control” of a person means the possession, directly or indirectly, of the power to direct or cause the direction of the management and policies of a person or entity, whether through the ownership of voting securities, by contract or otherwise. A person shall be deemed to be an “associate” of (A) a corporation or organization of which such person is an officer, director, partner or manager or is, directly or indirectly, the beneficial owner of ten percent (10%) or more of any class of equity securities, (B) any trust or other estate in which such person serves as trustee or in a similar capacity and (C) any relative or spouse of a person described in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(B)</w:t>
      </w:r>
      <w:r>
        <w:rPr>
          <w:color w:val="000000"/>
        </w:rPr>
        <w:t xml:space="preserve"> </w:t>
      </w:r>
      <w:r>
        <w:rPr>
          <w:rFonts w:ascii="Times New Roman;sans-serif" w:hAnsi="Times New Roman;sans-serif"/>
          <w:b w:val="false"/>
          <w:color w:val="000000"/>
          <w:sz w:val="24"/>
        </w:rPr>
        <w:t>of this sentence, or any relative of such spouse.</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The Borrower shall (A) give written notice to the Administrative Agent of the election or appointment, or proposed election or appointment, of a new Independent Director of the Borrower, which notice shall be given not later than five (5) Business Days prior to the date such appointment or election would be effective (except when such election or appointment is necessary to fill a vacancy caused by the death, disability, or incapacity of the existing Independent Director, or the failure of such Independent Director to satisfy the criteria for an Independent Director set forth in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 in which case the Borrower shall provide written notice of such election or appointment within one (1) Business Day) and (B) with any such written notice, certify to the Administrative Agent that the Independent Director satis</w:t>
      </w:r>
      <w:r>
        <w:rPr>
          <w:rFonts w:ascii="Times New Roman;sans-serif" w:hAnsi="Times New Roman;sans-serif"/>
          <w:b w:val="false"/>
          <w:color w:val="000000"/>
          <w:sz w:val="16"/>
        </w:rPr>
        <w:t>f</w:t>
      </w:r>
      <w:r>
        <w:rPr>
          <w:rFonts w:ascii="Times New Roman;sans-serif" w:hAnsi="Times New Roman;sans-serif"/>
          <w:b w:val="false"/>
          <w:color w:val="000000"/>
          <w:sz w:val="24"/>
        </w:rPr>
        <w:t xml:space="preserve">ies the criteria for an Independent Director set forth in this </w:t>
      </w:r>
      <w:r>
        <w:rPr>
          <w:rFonts w:ascii="Times New Roman;sans-serif" w:hAnsi="Times New Roman;sans-serif"/>
          <w:b w:val="false"/>
          <w:color w:val="000000"/>
          <w:sz w:val="24"/>
          <w:u w:val="single"/>
        </w:rPr>
        <w:t>clause (c)</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Borrower’s Limited Liability Company Agreement shall provide that: (A) the Borrower’s board of directors shall not approve, or take any other action to cause the filing of, a voluntary bankruptcy petition with respect to the Borrower unless the Independent Director shall approve the taking of such action in writing before the taking of such action and (B) such provision and each other provision requiring an Independent Director cannot be amended without the prior written consent of the Independent Director.</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Independent Director shall not at any time serve as a trustee in bankruptcy for any Integra Party or any of their Affiliates.</w:t>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92100"/>
                <wp:effectExtent l="0" t="0" r="0" b="0"/>
                <wp:wrapNone/>
                <wp:docPr id="133" name="Frame13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Organizational Documents</w:t>
      </w:r>
      <w:r>
        <w:rPr>
          <w:rFonts w:ascii="Times New Roman;sans-serif" w:hAnsi="Times New Roman;sans-serif"/>
          <w:b w:val="false"/>
          <w:color w:val="000000"/>
          <w:sz w:val="24"/>
        </w:rPr>
        <w:t xml:space="preserve">. The Borrower shall maintain its organizational documents in conformity with this Agreement, such that it does not amend, restate, supplement or otherwise modify its ability to comply with the terms and provisions of any of the Transaction Documents, including, without limitation, </w:t>
      </w:r>
      <w:r>
        <w:rPr>
          <w:rFonts w:ascii="Times New Roman;sans-serif" w:hAnsi="Times New Roman;sans-serif"/>
          <w:b w:val="false"/>
          <w:color w:val="000000"/>
          <w:sz w:val="24"/>
          <w:u w:val="single"/>
        </w:rPr>
        <w:t>Section 7.01(o)</w:t>
      </w:r>
      <w:r>
        <w:rPr>
          <w:rFonts w:ascii="Times New Roman;sans-serif" w:hAnsi="Times New Roman;sans-serif"/>
          <w:b w:val="false"/>
          <w:color w:val="000000"/>
          <w:sz w:val="24"/>
        </w:rPr>
        <w:t>.</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Conduct of Business</w:t>
      </w:r>
      <w:r>
        <w:rPr>
          <w:rFonts w:ascii="Times New Roman;sans-serif" w:hAnsi="Times New Roman;sans-serif"/>
          <w:b w:val="false"/>
          <w:color w:val="000000"/>
          <w:sz w:val="24"/>
        </w:rPr>
        <w:t>. The Borrower shall conduct its affairs strictly in accordance with its organizational documents and observe all necessary, appropriate and customary company formalities, including, but not limited to, holding all regular and special members’ and board of directors’ meetings appropriate to authorize all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Any employee, consultant or agent of the Borrower will be compensated from the Borrower’s funds for services provided to the Borrower, and to the extent that Borrower shares the same officers or other employees as the Servicer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Borrower will not engage any agents other than its attorneys, auditors and other professionals, and a servicer and any other agent contemplated by the Transaction Documents for the Receivables Pool, which servicer will be fully compensated for its services by payment of the Servicing Fee.</w:t>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Servicing and Costs</w:t>
      </w:r>
      <w:r>
        <w:rPr>
          <w:rFonts w:ascii="Times New Roman;sans-serif" w:hAnsi="Times New Roman;sans-serif"/>
          <w:b w:val="false"/>
          <w:color w:val="000000"/>
          <w:sz w:val="24"/>
        </w:rPr>
        <w:t>. The Borrower will contract with the Servicer to perform for the Borrower all operations required on a daily basis to service the Receivables Pool. The Borrower will not incur any indirect or overhead expenses for items shared with the Servicer (or any other Affiliate thereof) that are not reflected in the Servicing Fee. To the extent, if any, that the Borrower (or any Affiliate thereof) shares items of expenses not reflected in the Servicing Fee, such as legal, auditing and other professional services, such expenses will be allocated to the extent practical on the basis of actual use or the value of services rendered, and otherwise on a basis reasonably related to the actual use or the value of services rendered.</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Operating Expenses</w:t>
      </w:r>
      <w:r>
        <w:rPr>
          <w:rFonts w:ascii="Times New Roman;sans-serif" w:hAnsi="Times New Roman;sans-serif"/>
          <w:b w:val="false"/>
          <w:color w:val="000000"/>
          <w:sz w:val="24"/>
        </w:rPr>
        <w:t>. The Borrower’s operating expenses will not be paid by any Integra Party or any Affiliate thereof.</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Stationery</w:t>
      </w:r>
      <w:r>
        <w:rPr>
          <w:rFonts w:ascii="Times New Roman;sans-serif" w:hAnsi="Times New Roman;sans-serif"/>
          <w:b w:val="false"/>
          <w:color w:val="000000"/>
          <w:sz w:val="24"/>
        </w:rPr>
        <w:t>. The Borrower will have its own separate stationery.</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Books and Records</w:t>
      </w:r>
      <w:r>
        <w:rPr>
          <w:rFonts w:ascii="Times New Roman;sans-serif" w:hAnsi="Times New Roman;sans-serif"/>
          <w:b w:val="false"/>
          <w:color w:val="000000"/>
          <w:sz w:val="24"/>
        </w:rPr>
        <w:t>. The Borrower’s books and records will be maintained separately from those of the Parent, each other Integra Party and any of their Affiliates and in a manner such that it will not be difficult or costly to segregate, ascertain or otherwise identify the assets and liabilities of the Borrower.</w:t>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Disclosure of Transactions</w:t>
      </w:r>
      <w:r>
        <w:rPr>
          <w:rFonts w:ascii="Times New Roman;sans-serif" w:hAnsi="Times New Roman;sans-serif"/>
          <w:b w:val="false"/>
          <w:color w:val="000000"/>
          <w:sz w:val="24"/>
        </w:rPr>
        <w:t>. All financial statements of the Parent, each other Integra Party or any Affiliate thereof that are consolidated to include the Borrower will disclose that (i) the Borrower’s sole business consists of the purchase or acceptance through capital contributions of the Receivables and Related Rights from the Originators and the subsequent retransfer of or granting of a security interest in such Receivables and Related Rights to the Administrative Agent pursuant to this Agreement, (ii) the Borrower is a separate legal entity with its own separate creditors who will be entitled, upon its liquidation, to be satisfied out of the Borrower’s assets prior to any assets or value in the Borrower becoming available to the Borrower’s equity holders and (iii) the assets of the Borrower are not available to pay creditors of the Parent, each other Integra Party or any Affiliate thereof.</w:t>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92100"/>
                <wp:effectExtent l="0" t="0" r="0" b="0"/>
                <wp:wrapNone/>
                <wp:docPr id="134" name="Frame13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Segregation of Assets</w:t>
      </w:r>
      <w:r>
        <w:rPr>
          <w:rFonts w:ascii="Times New Roman;sans-serif" w:hAnsi="Times New Roman;sans-serif"/>
          <w:b w:val="false"/>
          <w:color w:val="000000"/>
          <w:sz w:val="24"/>
        </w:rPr>
        <w:t>. The Borrower’s assets will be maintained in a manner that facilitates their identification and segregation from those of the Parent, each other Integra Party or any Affiliates thereof.</w:t>
      </w:r>
    </w:p>
    <w:p>
      <w:pPr>
        <w:pStyle w:val="TextBody"/>
        <w:spacing w:lineRule="auto" w:line="240" w:before="0" w:after="240"/>
        <w:ind w:left="0" w:right="0" w:firstLine="1060"/>
        <w:jc w:val="both"/>
        <w:rPr/>
      </w:pPr>
      <w:r>
        <w:rPr>
          <w:rFonts w:ascii="Times New Roman;sans-serif" w:hAnsi="Times New Roman;sans-serif"/>
          <w:b w:val="false"/>
          <w:color w:val="000000"/>
          <w:sz w:val="24"/>
        </w:rPr>
        <w:t>xiii.</w:t>
      </w:r>
      <w:r>
        <w:rPr>
          <w:rFonts w:ascii="Times New Roman;sans-serif" w:hAnsi="Times New Roman;sans-serif"/>
          <w:b w:val="false"/>
          <w:color w:val="000000"/>
          <w:sz w:val="24"/>
          <w:u w:val="single"/>
        </w:rPr>
        <w:t>Corporate Formalities</w:t>
      </w:r>
      <w:r>
        <w:rPr>
          <w:rFonts w:ascii="Times New Roman;sans-serif" w:hAnsi="Times New Roman;sans-serif"/>
          <w:b w:val="false"/>
          <w:color w:val="000000"/>
          <w:sz w:val="24"/>
        </w:rPr>
        <w:t>. The Borrower will strictly observe limited liability company formalities in its dealings with the Parent, each other Integra Party or any Affiliates thereof, and funds or other assets of the Borrower will not be commingled with those of the Parent, each other Integra Party or any Affiliates thereof except as permitted by this Agreement in connection with servicing the Pool Receivables. The Borrower shall not maintain joint bank accounts or other depository accounts to which the Parent, each other Integra Party or any Affiliate thereof (other than the Servicer solely in its capacity as such) has independent access. The Borrower is not named, and has not entered into any agreement to be named, directly or indirectly, as a direct or contingent beneficiary or loss payee on any insurance policy with respect to any loss relating to the property of the Parent, each other Integra Party or any Subsidiaries or other Affiliates thereof. The Borrower will pay to the appropriate Affiliate the marginal increase or, in the absence of such increase, the market amount of its portion of the premium payable with respect to any insurance policy that covers the Borrower and such Affiliate.</w:t>
      </w:r>
    </w:p>
    <w:p>
      <w:pPr>
        <w:pStyle w:val="TextBody"/>
        <w:spacing w:lineRule="auto" w:line="240" w:before="0" w:after="240"/>
        <w:ind w:left="0" w:right="0" w:firstLine="1073"/>
        <w:jc w:val="both"/>
        <w:rPr/>
      </w:pPr>
      <w:r>
        <w:rPr>
          <w:rFonts w:ascii="Times New Roman;sans-serif" w:hAnsi="Times New Roman;sans-serif"/>
          <w:b w:val="false"/>
          <w:color w:val="000000"/>
          <w:sz w:val="24"/>
        </w:rPr>
        <w:t>xiv.</w:t>
      </w:r>
      <w:r>
        <w:rPr>
          <w:rFonts w:ascii="Times New Roman;sans-serif" w:hAnsi="Times New Roman;sans-serif"/>
          <w:b w:val="false"/>
          <w:color w:val="000000"/>
          <w:sz w:val="24"/>
          <w:u w:val="single"/>
        </w:rPr>
        <w:t>Arm’s-Length Relationships</w:t>
      </w:r>
      <w:r>
        <w:rPr>
          <w:rFonts w:ascii="Times New Roman;sans-serif" w:hAnsi="Times New Roman;sans-serif"/>
          <w:b w:val="false"/>
          <w:color w:val="000000"/>
          <w:sz w:val="24"/>
        </w:rPr>
        <w:t>. The Borrower will maintain arm’s-length relationships with the Parent, each other Integra Party and any Affiliates thereof. Any Person that renders or otherwise furnishes services to the Borrower will be compensated by the Borrower at market rates for such services it renders or otherwise furnishes to the Borrower. Neither the Borrower on the one hand, nor the Parent, each other Integra Party or any Affiliate thereof, on the other hand, will be or will hold itself out to be responsible for the debts of the other or the decisions or actions respecting the daily business and affairs of the other. The Parent, each Integra Party and their respective Affiliates will immediately correct any known misrepresentation with respect to the foregoing, and they will not operate or purport to operate as an integrated single economic unit with respect to each other or in their dealing with any other entity.</w:t>
      </w:r>
    </w:p>
    <w:p>
      <w:pPr>
        <w:pStyle w:val="TextBody"/>
        <w:spacing w:lineRule="auto" w:line="240" w:before="0" w:after="240"/>
        <w:ind w:left="0" w:right="0" w:firstLine="1140"/>
        <w:jc w:val="both"/>
        <w:rPr/>
      </w:pPr>
      <w:r>
        <w:rPr>
          <w:rFonts w:ascii="Times New Roman;sans-serif" w:hAnsi="Times New Roman;sans-serif"/>
          <w:b w:val="false"/>
          <w:color w:val="000000"/>
          <w:sz w:val="24"/>
        </w:rPr>
        <w:t>xv.</w:t>
      </w:r>
      <w:r>
        <w:rPr>
          <w:rFonts w:ascii="Times New Roman;sans-serif" w:hAnsi="Times New Roman;sans-serif"/>
          <w:b w:val="false"/>
          <w:color w:val="000000"/>
          <w:sz w:val="24"/>
          <w:u w:val="single"/>
        </w:rPr>
        <w:t>Allocation of Overhead</w:t>
      </w:r>
      <w:r>
        <w:rPr>
          <w:rFonts w:ascii="Times New Roman;sans-serif" w:hAnsi="Times New Roman;sans-serif"/>
          <w:b w:val="false"/>
          <w:color w:val="000000"/>
          <w:sz w:val="24"/>
        </w:rPr>
        <w:t>. To the extent that Borrower, on the one hand, and the Parent, each other Integra Party or any Affiliate thereof, on the other hand, have offices in the same location, there shall be a fair and appropriate allocation of overhead costs between them, and the Borrower shall bear its fair share of such expenses, which may be paid through the Servicing Fee or otherwise.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Financial Covenant. The Borrower shall not, directly or indirectly, nor shall it permit any Integra Party or the Parent to, directly or indirectly, permit the Consolidated Total Leverage Ratio of the Parent and its consolidated Subsidiaries as of the last day of any consecutive four fiscal quarter period ending on the dates identified below to be greater than the ratio set forth below opposite such date (and so long as PNC and Mizuho Bank, Ltd. are each a lender under the Credit Agreement, or such other ratio for such related period as specified in the Credit Agreement from time to time):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92100"/>
                <wp:effectExtent l="0" t="0" r="0" b="0"/>
                <wp:wrapNone/>
                <wp:docPr id="135" name="Frame13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167"/>
        <w:gridCol w:w="1894"/>
        <w:gridCol w:w="1898"/>
        <w:gridCol w:w="1242"/>
        <w:gridCol w:w="1242"/>
        <w:gridCol w:w="1762"/>
      </w:tblGrid>
      <w:tr>
        <w:trPr/>
        <w:tc>
          <w:tcPr>
            <w:tcW w:w="2167"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1898"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242" w:type="dxa"/>
            <w:tcBorders/>
            <w:shd w:fill="auto" w:val="clear"/>
            <w:vAlign w:val="center"/>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r>
      <w:tr>
        <w:trPr/>
        <w:tc>
          <w:tcPr>
            <w:tcW w:w="595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Four Fiscal Quarters Ending</w:t>
            </w:r>
          </w:p>
        </w:tc>
        <w:tc>
          <w:tcPr>
            <w:tcW w:w="424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Maximum Consolidated Total Leverage Ratio</w:t>
            </w:r>
          </w:p>
        </w:tc>
      </w:tr>
      <w:tr>
        <w:trPr/>
        <w:tc>
          <w:tcPr>
            <w:tcW w:w="595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First fiscal quarter ending after the Effective Date through June 30, 2022</w:t>
            </w:r>
          </w:p>
        </w:tc>
        <w:tc>
          <w:tcPr>
            <w:tcW w:w="424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5.00 to 1.00</w:t>
            </w:r>
          </w:p>
        </w:tc>
      </w:tr>
      <w:tr>
        <w:trPr/>
        <w:tc>
          <w:tcPr>
            <w:tcW w:w="5959"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2022 through June 30, 2023</w:t>
            </w:r>
          </w:p>
        </w:tc>
        <w:tc>
          <w:tcPr>
            <w:tcW w:w="424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4.50 to 1.00</w:t>
            </w:r>
          </w:p>
        </w:tc>
      </w:tr>
      <w:tr>
        <w:trPr/>
        <w:tc>
          <w:tcPr>
            <w:tcW w:w="5959"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2023 and the last day of each fiscal quarter thereafter</w:t>
            </w:r>
          </w:p>
        </w:tc>
        <w:tc>
          <w:tcPr>
            <w:tcW w:w="4246"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 to 1.00</w:t>
            </w:r>
          </w:p>
        </w:tc>
      </w:tr>
    </w:tbl>
    <w:p>
      <w:pPr>
        <w:pStyle w:val="TextBody"/>
        <w:spacing w:lineRule="auto" w:line="240" w:before="240" w:after="240"/>
        <w:jc w:val="both"/>
        <w:rPr/>
      </w:pPr>
      <w:r>
        <w:rPr>
          <w:rFonts w:ascii="Times New Roman;sans-serif" w:hAnsi="Times New Roman;sans-serif"/>
          <w:b w:val="false"/>
          <w:color w:val="000000"/>
          <w:sz w:val="24"/>
        </w:rPr>
        <w:t xml:space="preserve">Notwithstanding the foregoing, at the election of the Parent, up to two times during the term of this Agreement, the maximum Consolidated Total Leverage Ratio set forth in this grid above may be increased to accommodate a Permitted Acquisition (as defined in the Credit Agreement), as determined by the Parent and as designated in the Compliance Certificate (as defined in the Credit Agreement, a copy of which shall be promptly provided to the Administrative Agent hereunder) or earlier notice given by the Parent in connection with such Permitted Acquisition (as defined in the Credit Agreement) (including for determining any ratios, baskets, representations and warranties or test any Event of Default (as defined in the Credit Agreement,) or Default (as defined in the Credit Agreement) blocker pursuant to Section 1.08 of the Credit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such increase will not otherwise go into effect until the closing of such Permitted Acquisition (as defined in the Credit Agreement);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(a) such increase shall only apply for a period of twelve months from and after such Permitted Acquisition and immediately upon the expiration of such twelve month period, the required maximum Consolidated Total Leverage Ratio shall revert to the level set forth above for the measurement period in which such step down occurs; (b) in no event shall the maximum Consolidated Total Leverage Ratio after giving effect to any such step-up exceed 5.00 to 1.00; and (c) the maximum amount that any Consolidated Total Leverage Ratio covenant level may step-up during any Consolidated Total Leverage Ratio measurement period is 0.50.</w:t>
      </w:r>
    </w:p>
    <w:p>
      <w:pPr>
        <w:pStyle w:val="TextBody"/>
        <w:spacing w:lineRule="auto" w:line="240" w:before="0" w:after="240"/>
        <w:jc w:val="center"/>
        <w:rPr/>
      </w:pPr>
      <w:r>
        <w:rPr>
          <w:rFonts w:ascii="Times New Roman;sans-serif" w:hAnsi="Times New Roman;sans-serif"/>
          <w:b/>
          <w:color w:val="000000"/>
          <w:sz w:val="24"/>
        </w:rPr>
        <w:t>ARTICLE 8</w:t>
      </w:r>
      <w:r>
        <w:rPr>
          <w:rFonts w:ascii="Times New Roman;sans-serif" w:hAnsi="Times New Roman;sans-serif"/>
          <w:b/>
          <w:color w:val="000000"/>
          <w:sz w:val="24"/>
        </w:rPr>
        <w:br/>
        <w:br/>
        <w:t>ADMINISTRATION AND COLLECTION</w:t>
        <w:br/>
        <w:t>OF RECEIVABLES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Appointment of the Servicer.</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i.The servicing, administering and collection of the Pool Receivables shall be conducted by the Person so designated from time to time as the Servicer in accordance with this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xml:space="preserve">. Until the Administrative Agent gives notice to the Servicer (in accordance with this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of the designation of a new Servicer following an Event of Default, Integra Sales is hereby designated as, and hereby agrees to perform the duties and obligations of, the Servicer pursuant to the terms hereof. Upon the occurrence of an Event of Default, the Administrative Agent may (with the consent of the Majority Group Agents) and shall (at the direction of the Majority Group Agents) designate as Servicer any Person (including itself) to succeed Integra Sales or any successor Servicer, on the condition in each case that any such Person so designated shall agree to perform the duties and obligations of the Servicer pursuant to the terms hereof.</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ii.Upon the designation of a successor Servicer as set forth in </w:t>
      </w:r>
      <w:r>
        <w:rPr>
          <w:rFonts w:ascii="Times New Roman;sans-serif" w:hAnsi="Times New Roman;sans-serif"/>
          <w:b w:val="false"/>
          <w:color w:val="000000"/>
          <w:sz w:val="24"/>
          <w:u w:val="single"/>
        </w:rPr>
        <w:t>clause (a) above</w:t>
      </w:r>
      <w:r>
        <w:rPr>
          <w:rFonts w:ascii="Times New Roman;sans-serif" w:hAnsi="Times New Roman;sans-serif"/>
          <w:b w:val="false"/>
          <w:color w:val="000000"/>
          <w:sz w:val="24"/>
        </w:rPr>
        <w:t xml:space="preserve">, Integra Sales agrees that it will terminate its activities as Servicer hereunder in a manner that the </w:t>
      </w:r>
      <w:r>
        <w:br w:type="page"/>
      </w:r>
    </w:p>
    <w:p>
      <w:pPr>
        <w:pStyle w:val="TextBody"/>
        <w:spacing w:before="0" w:after="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92100"/>
                <wp:effectExtent l="0" t="0" r="0" b="0"/>
                <wp:wrapNone/>
                <wp:docPr id="136" name="Frame13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reasonably determines will facilitate the transition of the performance of such activities to the new Servicer, and Integra Sales shall cooperate with and assist such new Servicer. Such cooperation shall include access to and transfer of records (including all Contracts) related to Pool Receivables and use by the new Servicer of all licenses (or the obtaining of new licenses), hardware or software necessary or reasonably desirable to collect the Pool Receivables and the Related Security.</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iii.Integra Sales acknowledges that, in making its decision to execute and deliver this Agreement, the Administrative Agent and each member in each Group have relied on Integra Sales’s agreement to act as Servicer hereunder. Accordingly, Integra Sales agrees that it will not voluntarily resign as Servicer without the prior written consent of the Administrative Agent and the Majority Group Agents, except if such activity is no longer permitted by Applicable Law, as confirmed by an opinion of counsel reasonably satisfactory to the Administrative Agent.</w:t>
      </w:r>
    </w:p>
    <w:p>
      <w:pPr>
        <w:pStyle w:val="TextBody"/>
        <w:spacing w:lineRule="auto" w:line="240" w:before="0" w:after="240"/>
        <w:ind w:left="0" w:right="0" w:firstLine="1193"/>
        <w:jc w:val="both"/>
        <w:rPr/>
      </w:pPr>
      <w:r>
        <w:rPr>
          <w:rFonts w:ascii="Times New Roman;sans-serif" w:hAnsi="Times New Roman;sans-serif"/>
          <w:b w:val="false"/>
          <w:color w:val="000000"/>
          <w:sz w:val="24"/>
        </w:rPr>
        <w:t>iv.The Servicer may delegate its duties and obligations hereunder to any subservicer (each a “</w:t>
      </w:r>
      <w:r>
        <w:rPr>
          <w:rFonts w:ascii="Times New Roman;sans-serif" w:hAnsi="Times New Roman;sans-serif"/>
          <w:b w:val="false"/>
          <w:color w:val="000000"/>
          <w:sz w:val="24"/>
          <w:u w:val="single"/>
        </w:rPr>
        <w:t>Sub-Servicer</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in each such delegation: (i) such Sub-Servicer shall agree in writing to perform the delegated duties and obligations of the Servicer pursuant to the terms hereof, (ii) the Servicer shall remain liable for the performance of the duties and obligations so delegated, (iii) the Borrower, the Administrative Agent, each Lender and each Group Agent shall have the right to look solely to the Servicer for performance, (iv) the terms of any agreement with any Sub-Servicer shall provide that the Administrative Agent may terminate such agreement upon the termination of the Servicer hereunder by giving notice of its desire to terminate such agreement to the Servicer (and the Servicer shall provide appropriate notice to each such Sub-Servicer) and (v) if such Sub-Servicer is not an Affiliate of the Parent, the Administrative Agent and the Majority Group Agents shall have consented in writing in advance to such delegation.</w:t>
      </w:r>
    </w:p>
    <w:p>
      <w:pPr>
        <w:pStyle w:val="TextBody"/>
        <w:spacing w:lineRule="auto" w:line="240" w:before="0" w:after="24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v.For so long as an Integra Party or an Affiliate of an Integra Party is the Servicer, the Servicer may assign its duties hereunder to any Affiliate without the consent of the Administrative Agent or any Lender.</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Duties of the Servicer.</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i.The Servicer shall take or cause to be taken all such action as may be necessary or reasonably advisable to service, administer and collect each Pool Receivable from time to time, all in accordance with this Agreement and all Applicable Laws, with reasonable care and diligence, and in accordance with the Credit and Collection Procedures and consistent with the past practices of the Originators. The Servicer shall set aside, for the accounts of each Group, the amount of Collections to which each such Group is entitled in accordance with </w:t>
      </w:r>
      <w:r>
        <w:rPr>
          <w:rFonts w:ascii="Times New Roman;sans-serif" w:hAnsi="Times New Roman;sans-serif"/>
          <w:b w:val="false"/>
          <w:color w:val="000000"/>
          <w:sz w:val="24"/>
          <w:u w:val="single"/>
        </w:rPr>
        <w:t>Article III</w:t>
      </w:r>
      <w:r>
        <w:rPr>
          <w:color w:val="000000"/>
        </w:rPr>
        <w:t xml:space="preserve"> </w:t>
      </w:r>
      <w:r>
        <w:rPr>
          <w:rFonts w:ascii="Times New Roman;sans-serif" w:hAnsi="Times New Roman;sans-serif"/>
          <w:b w:val="false"/>
          <w:color w:val="000000"/>
          <w:sz w:val="24"/>
        </w:rPr>
        <w:t xml:space="preserve">hereof. The Servicer may, in accordance with the Credit and Collection Procedures and consistent with past practices of the Originators, take such action, including modifications, waivers or restructurings of Pool Receivables and related Contracts, as the Servicer may reasonably determine to be appropriate to maximize Collections thereof or reflect adjustments expressly permitted under the Credit and Collection Procedures or as expressly required under Applicable Laws or the applicable Contract;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for purposes of this Agreement: (i) such action shall not, and shall not be deemed to, change the number of days such Pool Receivable has remained unpaid from the date of the original due date related to such Pool Receivable, (ii) such action shall not alter the status of such Pool Receivable as a Delinquent Receivable or a Defaulted Receivable or limit the rights of any Secured Party under this Agreement or any other Transaction Document and (iii) if an Event of Default has occurred and is continuing, the Servicer may take such action only upon the prior written consent of the Administrative Agent. The Borrower shall deliver to the Servicer and the Servicer shall hold for the benefit of the Administrative Agent (individually and for the benefit of each Group), in accordance with their respective interests, all records and documents (including computer tapes </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92100"/>
                <wp:effectExtent l="0" t="0" r="0" b="0"/>
                <wp:wrapNone/>
                <wp:docPr id="137" name="Frame13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disks) with respect to each Pool Receivable. Notwithstanding anything to the contrary contained herein, if an Event of Default has occurred and is continuing, the Administrative Agent may direct the Servicer to commence or settle any legal action to enforce collection of any Pool Receivable that is a Defaulted Receivable or to foreclose upon or repossess any Related Security with respect to any such Defaulted Receivable.</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ii.The Servicer shall, as soon as practicable following actual receipt of collected funds, turn over to the Borrower the collections of any indebtedness that is not a Pool Receivable, less, if Integra Sales or an Affiliate thereof is not the Servicer, all reasonable and appropriate out-of-pocket costs and expenses of such Servicer of servicing, collecting and administering such collections. The Servicer, if other than Integra Sales or an Affiliate thereof, shall, as soon as practicable upon demand, deliver to the Borrower all records in its possession that evidence or relate to any indebtedness that is not a Pool Receivable, and copies of records in its possession that evidence or relate to any indebtedness that is a Pool Receivable.</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iii.The Servicer’s obligations hereunder shall terminate on the Final Payout Date. Promptly following the Final Payout Date, the Servicer shall deliver to the Borrower all books, records and related materials that the Borrower previously provided to the Servicer, or that have been obtained by the Servicer, in connection with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 xml:space="preserve">Collection Account Arrangements. On or prior to the date set forth in </w:t>
      </w:r>
      <w:r>
        <w:rPr>
          <w:rFonts w:ascii="Times New Roman;sans-serif" w:hAnsi="Times New Roman;sans-serif"/>
          <w:b w:val="false"/>
          <w:color w:val="000000"/>
          <w:sz w:val="24"/>
          <w:u w:val="single"/>
        </w:rPr>
        <w:t>Section 7.01(z)(ii)</w:t>
      </w:r>
      <w:r>
        <w:rPr>
          <w:rFonts w:ascii="Times New Roman;sans-serif" w:hAnsi="Times New Roman;sans-serif"/>
          <w:b w:val="false"/>
          <w:color w:val="000000"/>
          <w:sz w:val="24"/>
        </w:rPr>
        <w:t>, the Borrower shall have entered into Account Control Agreements with all of the Collection Account Banks and delivered executed counterparts of each to the Administrative Agent. Upon the occurrence and during the continuance of an Event of Default, the Administrative Agent may (with the consent of the Majority Group Agents) and shall (upon the direction of the Majority Group Agents) at any time thereafter give notice to each Collection Account Bank that the Administrative Agent is exercising its rights under the Account Control Agreements to do any or all of the following: (a) to have the exclusive ownership and control of the Collection Accounts transferred to the Administrative Agent (for the benefit of the Secured Parties) and to exercise exclusive dominion and control over the funds deposited therein, (b) to have the proceeds that are sent to the respective Collection Accounts redirected pursuant to the Administrative Agent’s instructions rather than deposited in the applicable Collection Account and (c) to take any or all other actions permitted under the applicable Account Control Agreement. The Borrower hereby agrees that if the Administrative Agent at any time takes any action set forth in the preceding sentence, the Administrative Agent shall have exclusive control (for the benefit of the Secured Parties) of the proceeds (including Collections) of all Pool Receivables and the Borrower hereby further agrees to take any other action that the Administrative Agent may reasonably request to transfer such control. Any proceeds of Pool Receivables received by the Borrower or the Servicer thereafter shall be sent immediately to, or as otherwise instructed by,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Enforcement Rights.</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i.At any time following the occurrence and during the continuation of an Event of Default: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1.the Administrative Agent (at the Borrower’s expense) may direct the Obligors that payment of all amounts payable under any Pool Receivable is to be made directly to the Administrative Agent or its designee;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2.the Administrative Agent may instruct the Borrower or the Servicer to give notice of the Secured Parties’ interest in Pool Receivables to each Obligor, which notice shall direct that payments be made directly to the Administrative Agent or its designee (on behalf of the Secured Parties), and the Borrower or the Servicer, </w:t>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92100"/>
                <wp:effectExtent l="0" t="0" r="0" b="0"/>
                <wp:wrapNone/>
                <wp:docPr id="138" name="Frame13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as the case may be, shall give such notice at the expense of the Borrower or the Servicer, as the case may be;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if the Borrower or the Servicer, as the case may be, fails to so notify each Obligor within two (2) Business Days following instruction by the Administrative Agent, the Administrative Agent (at the Borrower’s or the Servicer’s, as the case may be, expense) may so notify the Obligors;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Administrative Agent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Administrative Agent or its designee (for the benefit of the Secured Parties) at a place selected by the Administrative Agent and (B) segregate all cash, checks and other instruments received by it from time to time constituting Collections in a manner reasonably acceptable to the Administrative Agent and, promptly upon receipt, remit all such cash, checks and instruments, duly endorsed or with duly executed instruments of transfer, to the Administrative Agent or its designee;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Administrative Agent may notify the Collection Account Banks that the Borrower and the Servicer will no longer have any access to the Collection Accounts;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5.the Administrative Agent may (or, at the direction of the Majority Group Agents shall) replace the Person then acting as Servicer;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6.the Administrative Agent may collect any amounts due from an Originator under the Purchase and Sale Agreement or the Performance Guarantor under the Performance Guaranty.</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ii.The Borrower hereby authorizes the Administrative Agent (on behalf of the Secured Parties), and irrevocably appoints the Administrative Agent as its attorney-in-fact with full power of substitution and with full authority in the place and stead of the Borrower, which appointment is coupled with an interest, to take any and all steps in the name of the Borrower and on behalf of the Borrower necessary or desirable, in the reasonable determination of the Administrative Agent, after the occurrence and during the continuation of an Event of Default, to collect any and all amounts or portions thereof due under any and all Collateral, including endorsing the name of the Borrower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iii.The Servicer hereby authorizes the Administrative Agent (on behalf of the Secured Parties), and irrevocably appoints the Administrative Agent as its attorney-in-fact with full power of substitution and with full authority in the place and stead of the Servicer, which appointment is coupled with an interest, to take any and all steps in the name of the Servicer and on behalf of the Servicer necessary or desirable, in the reasonable determination of the Administrative Agent, after the occurrence and during the continuation of an Event of Default, to collect any and all amounts or portions thereof due under any and all Collateral, including endorsing the name of the Servicer on checks and other instruments representing Collections and enforcing such Collateral. Notwithstanding anything to the contrary contained in this subsection, none of the powers conferred upon such attorney-in-fact pursuant to the preceding sentence shall subject such attorney-in-fact to any liability if any action taken by it shall prove to be inadequate </w:t>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92100"/>
                <wp:effectExtent l="0" t="0" r="0" b="0"/>
                <wp:wrapNone/>
                <wp:docPr id="139" name="Frame13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invalid, nor shall they confer any obligations upon such attorney-in-fact in any manner whatsoever.</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Responsibilities of the Borrower.</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i.Anything herein to the contrary notwithstanding, the Borrower shall: (i) perform all of its obligations, if any, under the Contracts related to the Pool Receivables to the same extent as if interests in such Pool Receivables had not been transferred hereunder, and the exercise by the Administrative Agent, or any other Credit Party of their respective rights hereunder shall not relieve the Borrower from such obligations and (ii) pay when due any taxes, including any sales taxes payable in connection with the Pool Receivables and their creation and satisfaction. None of the Credit Parties shall have any obligation or liability with respect to any Collateral, nor shall any of them be obligated to perform any of the obligations of the Borrower, the Servicer or any Originator thereunder.</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ii.Integra Sales hereby irrevocably agrees that if at any time it shall cease to be the Servicer hereunder, it shall act (if the then-current Servicer so requests) as the data-processing agent of the Servicer and, in such capacity, Integra Sales shall conduct the data-processing functions (including but not limited to compiling and inputting data regarding the Receivables and Collections thereon and producing reports based on such data) of the administration of the Receivables and the Collections thereon in substantially the same way that Integra Sales conducted such data-processing functions while it acted as the Servicer. In connection with any such processing functions, the Borrower shall pay to Integra Sales its reasonable out-of-pocket costs and expenses from the Borrower’s own funds (subject to the priority of payments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Servicing Fee.</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i.Subject to </w:t>
      </w:r>
      <w:r>
        <w:rPr>
          <w:rFonts w:ascii="Times New Roman;sans-serif" w:hAnsi="Times New Roman;sans-serif"/>
          <w:b w:val="false"/>
          <w:color w:val="000000"/>
          <w:sz w:val="24"/>
          <w:u w:val="single"/>
        </w:rPr>
        <w:t>clause (b)</w:t>
      </w:r>
      <w:r>
        <w:rPr>
          <w:color w:val="000000"/>
        </w:rPr>
        <w:t xml:space="preserve"> </w:t>
      </w:r>
      <w:r>
        <w:rPr>
          <w:rFonts w:ascii="Times New Roman;sans-serif" w:hAnsi="Times New Roman;sans-serif"/>
          <w:b w:val="false"/>
          <w:color w:val="000000"/>
          <w:sz w:val="24"/>
        </w:rPr>
        <w:t>below, the Borrower shall pay the Servicer a fee (the “</w:t>
      </w:r>
      <w:r>
        <w:rPr>
          <w:rFonts w:ascii="Times New Roman;sans-serif" w:hAnsi="Times New Roman;sans-serif"/>
          <w:b w:val="false"/>
          <w:color w:val="000000"/>
          <w:sz w:val="24"/>
          <w:u w:val="single"/>
        </w:rPr>
        <w:t>Servicing Fee</w:t>
      </w:r>
      <w:r>
        <w:rPr>
          <w:color w:val="000000"/>
        </w:rPr>
        <w:t>”</w:t>
      </w:r>
      <w:r>
        <w:rPr>
          <w:rFonts w:ascii="Times New Roman;sans-serif" w:hAnsi="Times New Roman;sans-serif"/>
          <w:b w:val="false"/>
          <w:color w:val="000000"/>
          <w:sz w:val="24"/>
        </w:rPr>
        <w:t xml:space="preserve">) equal to 1.00% </w:t>
      </w:r>
      <w:r>
        <w:rPr>
          <w:rFonts w:ascii="Times New Roman;sans-serif" w:hAnsi="Times New Roman;sans-serif"/>
          <w:b w:val="false"/>
          <w:i/>
          <w:color w:val="000000"/>
          <w:sz w:val="24"/>
        </w:rPr>
        <w:t>per annum</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Servicing Fee Rate</w:t>
      </w:r>
      <w:r>
        <w:rPr>
          <w:color w:val="000000"/>
        </w:rPr>
        <w:t>”</w:t>
      </w:r>
      <w:r>
        <w:rPr>
          <w:rFonts w:ascii="Times New Roman;sans-serif" w:hAnsi="Times New Roman;sans-serif"/>
          <w:b w:val="false"/>
          <w:color w:val="000000"/>
          <w:sz w:val="24"/>
        </w:rPr>
        <w:t xml:space="preserve">) of the daily average aggregate Outstanding Balance of the Pool Receivables. Accrued Servicing Fees shall be payable from Collections to the extent of available funds in accordance with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ii.If the Servicer ceases to be Integra Sales or an Affiliate thereof, the Servicing Fee shall be the greater of: (i) the amount calculated pursuant to </w:t>
      </w:r>
      <w:r>
        <w:rPr>
          <w:rFonts w:ascii="Times New Roman;sans-serif" w:hAnsi="Times New Roman;sans-serif"/>
          <w:b w:val="false"/>
          <w:color w:val="000000"/>
          <w:sz w:val="24"/>
          <w:u w:val="single"/>
        </w:rPr>
        <w:t>clause (a)</w:t>
      </w:r>
      <w:r>
        <w:rPr>
          <w:color w:val="000000"/>
        </w:rPr>
        <w:t xml:space="preserve"> </w:t>
      </w:r>
      <w:r>
        <w:rPr>
          <w:rFonts w:ascii="Times New Roman;sans-serif" w:hAnsi="Times New Roman;sans-serif"/>
          <w:b w:val="false"/>
          <w:color w:val="000000"/>
          <w:sz w:val="24"/>
        </w:rPr>
        <w:t>above and (ii) an alternative amount specified by the successor Servicer not to exceed 110% of the aggregate reasonable costs and expenses incurred by such successor Servicer in connection with the performance of its obligations as Servicer hereunder.</w:t>
      </w:r>
    </w:p>
    <w:p>
      <w:pPr>
        <w:pStyle w:val="TextBody"/>
        <w:spacing w:lineRule="auto" w:line="240" w:before="0" w:after="240"/>
        <w:jc w:val="center"/>
        <w:rPr/>
      </w:pPr>
      <w:r>
        <w:rPr>
          <w:rFonts w:ascii="Times New Roman;sans-serif" w:hAnsi="Times New Roman;sans-serif"/>
          <w:b/>
          <w:color w:val="000000"/>
          <w:sz w:val="24"/>
        </w:rPr>
        <w:t>ARTICLE 9</w:t>
      </w:r>
      <w:r>
        <w:rPr>
          <w:rFonts w:ascii="Times New Roman;sans-serif" w:hAnsi="Times New Roman;sans-serif"/>
          <w:b/>
          <w:color w:val="000000"/>
          <w:sz w:val="24"/>
        </w:rPr>
        <w:br/>
        <w:br/>
        <w:t>EVENTS OF DEFAULT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Events of Default. If any of the following events (each an “</w:t>
      </w:r>
      <w:r>
        <w:rPr>
          <w:rFonts w:ascii="Times New Roman;sans-serif" w:hAnsi="Times New Roman;sans-serif"/>
          <w:b w:val="false"/>
          <w:color w:val="000000"/>
          <w:sz w:val="24"/>
          <w:u w:val="single"/>
        </w:rPr>
        <w:t>Event of Default</w:t>
      </w:r>
      <w:r>
        <w:rPr>
          <w:color w:val="000000"/>
        </w:rPr>
        <w:t>”</w:t>
      </w:r>
      <w:r>
        <w:rPr>
          <w:rFonts w:ascii="Times New Roman;sans-serif" w:hAnsi="Times New Roman;sans-serif"/>
          <w:b w:val="false"/>
          <w:color w:val="000000"/>
          <w:sz w:val="24"/>
        </w:rPr>
        <w:t>) shall occur:</w:t>
      </w:r>
      <w:r>
        <w:rPr>
          <w:color w:val="000000"/>
        </w:rPr>
        <w:t xml:space="preserve"> </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i.(i) any Integra Party shall fail to perform or observe any term, covenant or agreement under this Agreement or any other Transaction Document (other than any such failure which would constitute an Event of Default under </w:t>
      </w:r>
      <w:r>
        <w:rPr>
          <w:rFonts w:ascii="Times New Roman;sans-serif" w:hAnsi="Times New Roman;sans-serif"/>
          <w:b w:val="false"/>
          <w:color w:val="000000"/>
          <w:sz w:val="24"/>
          <w:u w:val="single"/>
        </w:rPr>
        <w:t>clause (ii)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9.01(a)</w:t>
      </w:r>
      <w:r>
        <w:rPr>
          <w:rFonts w:ascii="Times New Roman;sans-serif" w:hAnsi="Times New Roman;sans-serif"/>
          <w:b w:val="false"/>
          <w:color w:val="000000"/>
          <w:sz w:val="24"/>
        </w:rPr>
        <w:t xml:space="preserve">), and such failure, solely to the extent capable of cure, shall continue unremedied for thirty (30) calendar days solely to the extent (A) such failure is capable of being cured (as determined by the Administrative Agent) and (B) an Integra Party provides written notice to the Administrative Agent detailing the action which it is taking in order to cure such failure, (ii) any Integra Party shall fail to make when due any payment or deposit to be made by it under this Agreement or any </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92100"/>
                <wp:effectExtent l="0" t="0" r="0" b="0"/>
                <wp:wrapNone/>
                <wp:docPr id="140" name="Frame14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other Transaction Document and such failure shall continue unremedied for two (2) Business Days (unless such failure is related to an Event of Default set forth in </w:t>
      </w:r>
      <w:r>
        <w:rPr>
          <w:rFonts w:ascii="Times New Roman;sans-serif" w:hAnsi="Times New Roman;sans-serif"/>
          <w:b w:val="false"/>
          <w:color w:val="000000"/>
          <w:sz w:val="24"/>
          <w:u w:val="single"/>
        </w:rPr>
        <w:t>Section 9.01(h)</w:t>
      </w:r>
      <w:r>
        <w:rPr>
          <w:rFonts w:ascii="Times New Roman;sans-serif" w:hAnsi="Times New Roman;sans-serif"/>
          <w:b w:val="false"/>
          <w:color w:val="000000"/>
          <w:sz w:val="24"/>
        </w:rPr>
        <w:t xml:space="preserve">), (iii) Integra Sales shall resign as Servicer, and no successor Servicer reasonably satisfactory to the Administrative Agent shall have been appointed or (iv) immediately upon the breach of any covenant set forth in </w:t>
      </w:r>
      <w:r>
        <w:rPr>
          <w:rFonts w:ascii="Times New Roman;sans-serif" w:hAnsi="Times New Roman;sans-serif"/>
          <w:b w:val="false"/>
          <w:color w:val="000000"/>
          <w:sz w:val="24"/>
          <w:u w:val="single"/>
        </w:rPr>
        <w:t>Section 7.04</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ii.any representation or warranty made or deemed made by an Integra Party (or any of their respective officers) under or in connection with this Agreement or any other Transaction Document or any information or report delivered by an Integra Party pursuant to this Agreement or any other Transaction Document, shall prove to have been incorrect or untrue in any material respect when made or deemed made or delivered, and, solely to the extent such breach is capable of being cured (as determined by the Administrative Agent), such breach shall continue unremedied for fifteen (15) calendar days following the earlier of (A) any Integra Party’s actual knowledge of such breach and (B) the Administrative Agent’s written notice to any Integra Party of such breach;</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iii.the Borrower or the Servicer shall fail to deliver an Information Package or Interim Report pursuant to this Agreement, and such failure shall remain unremedied for two (2) Business Days with respect to an Information Package or two (2) Business Days with respect to an Interim Report; </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iv.this Agreement or any security interest granted pursuant to this Agreement or any other Transaction Document shall for any reason cease to create, or for any reason cease to be, a valid and enforceable first priority perfected security interest in favor of the Administrative Agent with respect to the Collateral, free and clear of any Adverse Claim;</w:t>
      </w:r>
    </w:p>
    <w:p>
      <w:pPr>
        <w:pStyle w:val="TextBody"/>
        <w:spacing w:lineRule="auto" w:line="240" w:before="0" w:after="240"/>
        <w:ind w:left="0" w:right="0" w:firstLine="1260"/>
        <w:jc w:val="both"/>
        <w:rPr/>
      </w:pPr>
      <w:r>
        <w:rPr>
          <w:rFonts w:ascii="Times New Roman;sans-serif" w:hAnsi="Times New Roman;sans-serif"/>
          <w:b w:val="false"/>
          <w:color w:val="000000"/>
          <w:sz w:val="24"/>
        </w:rPr>
        <w:t xml:space="preserve">v.any Integra Party shall generally not pay its debts as such debts become due, or shall admit in writing its inability to pay its debts generally, or shall make a general assignment for the benefit of creditors; or any Insolvency Proceeding shall be instituted by or against any Integra Party and, in the case of any such proceeding instituted against such Person (but not instituted by such Person), either such proceeding shall remain undismissed or unstayed for a period of sixty (60) consecutive calendar days, or any of the actions sought in such proceeding (including the entry of an order for relief against, or the appointment of a receiver, trustee, custodian or other similar official for, it or for any substantial part of its property) shall occur; or any Integra Party shall take any corporate or organizational action to authorize any of the actions set forth above in this </w:t>
      </w:r>
      <w:r>
        <w:rPr>
          <w:rFonts w:ascii="Times New Roman;sans-serif" w:hAnsi="Times New Roman;sans-serif"/>
          <w:b w:val="false"/>
          <w:color w:val="000000"/>
          <w:sz w:val="24"/>
          <w:u w:val="single"/>
        </w:rPr>
        <w:t>Section 9.01(e)</w:t>
      </w:r>
      <w:r>
        <w:rPr>
          <w:rFonts w:ascii="Times New Roman;sans-serif" w:hAnsi="Times New Roman;sans-serif"/>
          <w:b w:val="false"/>
          <w:color w:val="000000"/>
          <w:sz w:val="24"/>
        </w:rPr>
        <w:t>;</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vi.(i) the average for three (3) consecutive Fiscal Months of: (A) the Default Ratio shall exceed four percent (4.00%), (B) the Delinquency Ratio shall exceed (x) during the Relief Period, eighteen percent (18.00%), and (y) at all other times, twelve percent (12.00%) or (C) the Dilution Ratio shall exceed six percent (6.00%) or (ii) the Days’ Sales Outstanding shall exceed sixty five (65) calendar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that</w:t>
      </w:r>
      <w:r>
        <w:rPr>
          <w:color w:val="000000"/>
        </w:rPr>
        <w:t xml:space="preserve"> </w:t>
      </w:r>
      <w:r>
        <w:rPr>
          <w:rFonts w:ascii="Times New Roman;sans-serif" w:hAnsi="Times New Roman;sans-serif"/>
          <w:b w:val="false"/>
          <w:color w:val="000000"/>
          <w:sz w:val="24"/>
        </w:rPr>
        <w:t>solely for purposes of this clause (f), Temporarily Ineligible Receivables shall be excluded from each component of the calculations used to determine compliance with the tests relating to the Default Ratio, the Delinquency Ratio, the Dilution Ratio and Days’ Sales Outstanding set forth in this clause (f);</w:t>
      </w:r>
    </w:p>
    <w:p>
      <w:pPr>
        <w:pStyle w:val="TextBody"/>
        <w:spacing w:lineRule="auto" w:line="240" w:before="0" w:after="240"/>
        <w:ind w:left="0" w:right="0" w:firstLine="1127"/>
        <w:jc w:val="both"/>
        <w:rPr>
          <w:rFonts w:ascii="Times New Roman;sans-serif" w:hAnsi="Times New Roman;sans-serif"/>
          <w:b w:val="false"/>
          <w:color w:val="000000"/>
          <w:sz w:val="24"/>
        </w:rPr>
      </w:pPr>
      <w:r>
        <w:rPr>
          <w:rFonts w:ascii="Times New Roman;sans-serif" w:hAnsi="Times New Roman;sans-serif"/>
          <w:b w:val="false"/>
          <w:color w:val="000000"/>
          <w:sz w:val="24"/>
        </w:rPr>
        <w:t>vii.a Change in Control shall occur;</w:t>
      </w:r>
    </w:p>
    <w:p>
      <w:pPr>
        <w:pStyle w:val="TextBody"/>
        <w:spacing w:lineRule="auto" w:line="240" w:before="0" w:after="240"/>
        <w:ind w:left="0" w:right="0" w:firstLine="1060"/>
        <w:jc w:val="both"/>
        <w:rPr>
          <w:rFonts w:ascii="Times New Roman;sans-serif" w:hAnsi="Times New Roman;sans-serif"/>
          <w:b w:val="false"/>
          <w:color w:val="000000"/>
          <w:sz w:val="24"/>
        </w:rPr>
      </w:pPr>
      <w:r>
        <w:rPr>
          <w:rFonts w:ascii="Times New Roman;sans-serif" w:hAnsi="Times New Roman;sans-serif"/>
          <w:b w:val="false"/>
          <w:color w:val="000000"/>
          <w:sz w:val="24"/>
        </w:rPr>
        <w:t>viii.a Borrowing Base Deficit shall occur, and shall not have been cured within two (2) Business Days;</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ix.(i) the Borrower shall fail to pay any principal of or premium or interest on any of its Debt when the same becomes due and payable (whether by scheduled maturity, required prepayment, acceleration, demand or otherwise), and such failure shall continue after the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92100"/>
                <wp:effectExtent l="0" t="0" r="0" b="0"/>
                <wp:wrapNone/>
                <wp:docPr id="141" name="Frame14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applicable grace period (not to exceed thirty (30) calendar days), if any, specified in the agreement, mortgage, indenture or instrument relating to such Debt (whether or not such failure shall have been waived under the related agreement); (ii) any other Integra Party or any of their respective Subsidiaries, individually or in the aggregate, shall fail to pay any principal of or premium or interest on any of its Debt that is outstanding in a principal amount of at least fifty million dollars (</w:t>
      </w:r>
      <w:r>
        <w:rPr>
          <w:rFonts w:ascii="Times New Roman;sans-serif" w:hAnsi="Times New Roman;sans-serif"/>
          <w:b/>
          <w:color w:val="000000"/>
          <w:sz w:val="24"/>
        </w:rPr>
        <w:t xml:space="preserve">$50,000,000) </w:t>
      </w:r>
      <w:r>
        <w:rPr>
          <w:rFonts w:ascii="Times New Roman;sans-serif" w:hAnsi="Times New Roman;sans-serif"/>
          <w:b w:val="false"/>
          <w:color w:val="000000"/>
          <w:sz w:val="24"/>
        </w:rPr>
        <w:t xml:space="preserve">in the aggregate when the same becomes due and payable (whether by scheduled maturity, required prepayment, acceleration, demand or otherwise), and such failure shall continue after the applicable grace period (not to exceed thirty (30) calendar days), if any, specified in the agreement, mortgage, indenture or instrument relating to such Debt (whether or not such failure shall have been waived under the related agreement); (iii) any other event shall occur or condition shall exist under any agreement, mortgage, indenture or instrument relating to any such Debt (as referred to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 xml:space="preserve">) and shall continue after the applicable grace period (not to exceed thirty (30) calendar days), if any, specified in such agreement, mortgage, indenture or instrument (whether or not such failure shall have been waived under the related agreement), if the effect of such event or condition is to give the applicable debtholders the right (whether acted upon or not) to accelerate or permit the acceleration of the maturity of such Debt (as referred to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 xml:space="preserve">) or to terminate the commitment of any lender thereunder, or (iv) any such Debt (as referred to in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9.01(i)</w:t>
      </w:r>
      <w:r>
        <w:rPr>
          <w:rFonts w:ascii="Times New Roman;sans-serif" w:hAnsi="Times New Roman;sans-serif"/>
          <w:b w:val="false"/>
          <w:color w:val="000000"/>
          <w:sz w:val="24"/>
        </w:rPr>
        <w:t xml:space="preserve">) shall be declared to be due and payable, or required to be prepaid (other than by a regularly scheduled required prepayment), redeemed, purchased or defeased, or an offer to repay, redeem, purchase or defease such Debt shall be required to be made or the commitment of any lender thereunder terminated, in each case before the stated maturity thereof; </w:t>
      </w:r>
    </w:p>
    <w:p>
      <w:pPr>
        <w:pStyle w:val="TextBody"/>
        <w:spacing w:lineRule="auto" w:line="240" w:before="0" w:after="24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x.the Performance Guarantor shall fail to perform any of its obligations under the Performance Guaranty;</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xi.the Borrower shall fail (x) at any time (other than for ten (10) Business Days following notice of the death or resignation of any Independent Director) to have an Independent Director who satisfies each requirement and qualification specified in </w:t>
      </w:r>
      <w:r>
        <w:rPr>
          <w:rFonts w:ascii="Times New Roman;sans-serif" w:hAnsi="Times New Roman;sans-serif"/>
          <w:b w:val="false"/>
          <w:color w:val="000000"/>
          <w:sz w:val="24"/>
          <w:u w:val="single"/>
        </w:rPr>
        <w:t>Section 7.03(c)</w:t>
      </w:r>
      <w:r>
        <w:rPr>
          <w:color w:val="000000"/>
        </w:rPr>
        <w:t xml:space="preserve"> </w:t>
      </w:r>
      <w:r>
        <w:rPr>
          <w:rFonts w:ascii="Times New Roman;sans-serif" w:hAnsi="Times New Roman;sans-serif"/>
          <w:b w:val="false"/>
          <w:color w:val="000000"/>
          <w:sz w:val="24"/>
        </w:rPr>
        <w:t xml:space="preserve">of this Agreement for Independent Directors, on the Borrower’s board of directors or (y) to timely notify the Administrative Agent of any replacement or appointment of any director that is to serve as an Independent Director on the Borrower’s board of directors as required pursuant to </w:t>
      </w:r>
      <w:r>
        <w:rPr>
          <w:rFonts w:ascii="Times New Roman;sans-serif" w:hAnsi="Times New Roman;sans-serif"/>
          <w:b w:val="false"/>
          <w:color w:val="000000"/>
          <w:sz w:val="24"/>
          <w:u w:val="single"/>
        </w:rPr>
        <w:t>Section 7.03(c)</w:t>
      </w:r>
      <w:r>
        <w:rPr>
          <w:color w:val="000000"/>
        </w:rPr>
        <w:t xml:space="preserve"> </w:t>
      </w:r>
      <w:r>
        <w:rPr>
          <w:rFonts w:ascii="Times New Roman;sans-serif" w:hAnsi="Times New Roman;sans-serif"/>
          <w:b w:val="false"/>
          <w:color w:val="000000"/>
          <w:sz w:val="24"/>
        </w:rPr>
        <w:t>of this Agreement;</w:t>
      </w:r>
    </w:p>
    <w:p>
      <w:pPr>
        <w:pStyle w:val="TextBody"/>
        <w:spacing w:lineRule="auto" w:line="240" w:before="0" w:after="240"/>
        <w:ind w:left="0" w:right="0" w:firstLine="1127"/>
        <w:jc w:val="both"/>
        <w:rPr>
          <w:rFonts w:ascii="Times New Roman;sans-serif" w:hAnsi="Times New Roman;sans-serif"/>
          <w:b w:val="false"/>
          <w:color w:val="000000"/>
          <w:sz w:val="24"/>
        </w:rPr>
      </w:pPr>
      <w:r>
        <w:rPr>
          <w:rFonts w:ascii="Times New Roman;sans-serif" w:hAnsi="Times New Roman;sans-serif"/>
          <w:b w:val="false"/>
          <w:color w:val="000000"/>
          <w:sz w:val="24"/>
        </w:rPr>
        <w:t>xii.there shall have occurred any event which materially adversely impairs, the collectibility of the Pool Receivables generally or any material portion thereof;</w:t>
      </w:r>
    </w:p>
    <w:p>
      <w:pPr>
        <w:pStyle w:val="TextBody"/>
        <w:spacing w:lineRule="auto" w:line="240" w:before="0" w:after="240"/>
        <w:ind w:left="0" w:right="0" w:firstLine="1060"/>
        <w:jc w:val="both"/>
        <w:rPr>
          <w:rFonts w:ascii="Times New Roman;sans-serif" w:hAnsi="Times New Roman;sans-serif"/>
          <w:b w:val="false"/>
          <w:color w:val="000000"/>
          <w:sz w:val="24"/>
        </w:rPr>
      </w:pPr>
      <w:r>
        <w:rPr>
          <w:rFonts w:ascii="Times New Roman;sans-serif" w:hAnsi="Times New Roman;sans-serif"/>
          <w:b w:val="false"/>
          <w:color w:val="000000"/>
          <w:sz w:val="24"/>
        </w:rPr>
        <w:t>xiii.either (i) the Internal Revenue Service shall file notice of a lien pursuant to Section 6323 of the Code with regard to any assets of the Borrower, any Originator or the Parent or (ii) the PBGC shall, or shall indicate its intention to, file notice of a lien pursuant to Section 4068 of ERISA with regard to any of the assets of the Borrower, the Servicer, any Originator or the Parent, and in either case with respect to any Originator or Parent, such lien shall not have been released within thirty (30) calendar days;</w:t>
      </w:r>
    </w:p>
    <w:p>
      <w:pPr>
        <w:pStyle w:val="TextBody"/>
        <w:spacing w:lineRule="auto" w:line="240" w:before="0" w:after="240"/>
        <w:ind w:left="0" w:right="0" w:firstLine="107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xiv.(i) the occurrence of a Reportable Event with respect to a Pension Plan; (ii) the adoption of an amendment to a Pension Plan that would require the provision of security pursuant to Section 401(a)(29) of the Code; (iii) the existence with respect to any Multiemployer Plan of an “accumulated funding deficiency” (as defined in Section 431 of the Code or Section 304 of ERISA), whether or not waived; (iv) the failure to satisfy the minimum funding standard under Section 412 of the Code with respect to any Pension Plan (v) the incurrence of any liability under Title IV of ERISA with respect to the termination of any Pension Plan or the withdrawal or partial withdrawal of any of the Borrower, any Originator, the Servicer, the Parent or any of their respective ERISA Affiliates from any Multiemployer Plan; (vi) the receipt by any of the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92100"/>
                <wp:effectExtent l="0" t="0" r="0" b="0"/>
                <wp:wrapNone/>
                <wp:docPr id="142" name="Frame14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Borrower, any Originator, the Servicer, the Parent or any of their respective ERISA Affiliates from the PBGC or any plan administrator of any notice relating to the intention to terminate any Pension Plan or Multiemployer Plan or to appoint a trustee to administer any Pension Plan or Multiemployer Plan; (vii) with respect to the Borrower, any Originator, the Servicer, the Parent or any of their respective ERISA Affiliates, the imposition of Withdrawal Liability or a determination that a Multiemployer Plan is insolvent or in reorganization, within the meaning of Title IV of ERISA; or (viii) the occurrence of a prohibited transaction with respect to any of the Borrower, any Originator, the Servicer, the Parent or any of their respective ERISA Affiliates (pursuant to Section 4975 of the Code); provided that, the occurrence or existence of any event or condition described in each of </w:t>
      </w:r>
      <w:r>
        <w:rPr>
          <w:rFonts w:ascii="Times New Roman;sans-serif" w:hAnsi="Times New Roman;sans-serif"/>
          <w:b w:val="false"/>
          <w:color w:val="000000"/>
          <w:sz w:val="24"/>
          <w:u w:val="single"/>
        </w:rPr>
        <w:t>clause (i)</w:t>
      </w:r>
      <w:r>
        <w:rPr>
          <w:color w:val="000000"/>
        </w:rPr>
        <w:t xml:space="preserve"> </w:t>
      </w:r>
      <w:r>
        <w:rPr>
          <w:rFonts w:ascii="Times New Roman;sans-serif" w:hAnsi="Times New Roman;sans-serif"/>
          <w:b w:val="false"/>
          <w:color w:val="000000"/>
          <w:sz w:val="24"/>
        </w:rPr>
        <w:t>through (</w:t>
      </w:r>
      <w:r>
        <w:rPr>
          <w:rFonts w:ascii="Times New Roman;sans-serif" w:hAnsi="Times New Roman;sans-serif"/>
          <w:b w:val="false"/>
          <w:color w:val="000000"/>
          <w:sz w:val="24"/>
          <w:u w:val="single"/>
        </w:rPr>
        <w:t>viii</w:t>
      </w:r>
      <w:r>
        <w:rPr>
          <w:rFonts w:ascii="Times New Roman;sans-serif" w:hAnsi="Times New Roman;sans-serif"/>
          <w:b w:val="false"/>
          <w:color w:val="000000"/>
          <w:sz w:val="24"/>
        </w:rPr>
        <w:t>) will only constitute an Event of Default if either individually or in the aggregate, it could reasonably be expected to result in a Material Adverse Effect;</w:t>
      </w:r>
    </w:p>
    <w:p>
      <w:pPr>
        <w:pStyle w:val="TextBody"/>
        <w:spacing w:lineRule="auto" w:line="240" w:before="0" w:after="240"/>
        <w:ind w:left="0" w:right="0" w:firstLine="1140"/>
        <w:jc w:val="both"/>
        <w:rPr>
          <w:rFonts w:ascii="Times New Roman;sans-serif" w:hAnsi="Times New Roman;sans-serif"/>
          <w:b w:val="false"/>
          <w:color w:val="000000"/>
          <w:sz w:val="24"/>
        </w:rPr>
      </w:pPr>
      <w:r>
        <w:rPr>
          <w:rFonts w:ascii="Times New Roman;sans-serif" w:hAnsi="Times New Roman;sans-serif"/>
          <w:b w:val="false"/>
          <w:color w:val="000000"/>
          <w:sz w:val="24"/>
        </w:rPr>
        <w:t>xv.a Purchase and Sale Termination Event shall occur under the Purchase and Sale Agreement;</w:t>
      </w:r>
    </w:p>
    <w:p>
      <w:pPr>
        <w:pStyle w:val="TextBody"/>
        <w:spacing w:lineRule="auto" w:line="240" w:before="0" w:after="240"/>
        <w:ind w:left="0" w:right="0" w:firstLine="1073"/>
        <w:jc w:val="both"/>
        <w:rPr>
          <w:rFonts w:ascii="Times New Roman;sans-serif" w:hAnsi="Times New Roman;sans-serif"/>
          <w:b w:val="false"/>
          <w:color w:val="000000"/>
          <w:sz w:val="24"/>
        </w:rPr>
      </w:pPr>
      <w:r>
        <w:rPr>
          <w:rFonts w:ascii="Times New Roman;sans-serif" w:hAnsi="Times New Roman;sans-serif"/>
          <w:b w:val="false"/>
          <w:color w:val="000000"/>
          <w:sz w:val="24"/>
        </w:rPr>
        <w:t>xvi.the Borrower shall be required to register as an “investment company” within the meaning of the Investment Company Act;</w:t>
      </w:r>
    </w:p>
    <w:p>
      <w:pPr>
        <w:pStyle w:val="TextBody"/>
        <w:spacing w:lineRule="auto" w:line="240" w:before="0" w:after="240"/>
        <w:ind w:left="0" w:right="0" w:firstLine="1007"/>
        <w:jc w:val="both"/>
        <w:rPr>
          <w:rFonts w:ascii="Times New Roman;sans-serif" w:hAnsi="Times New Roman;sans-serif"/>
          <w:b w:val="false"/>
          <w:color w:val="000000"/>
          <w:sz w:val="24"/>
        </w:rPr>
      </w:pPr>
      <w:r>
        <w:rPr>
          <w:rFonts w:ascii="Times New Roman;sans-serif" w:hAnsi="Times New Roman;sans-serif"/>
          <w:b w:val="false"/>
          <w:color w:val="000000"/>
          <w:sz w:val="24"/>
        </w:rPr>
        <w:t>xvii.any material provision of this Agreement or any other Transaction Document shall cease to be in full force and effect or any Integra Party (or any of their respective Affiliates) shall so state in writing; or</w:t>
      </w:r>
    </w:p>
    <w:p>
      <w:pPr>
        <w:pStyle w:val="TextBody"/>
        <w:spacing w:lineRule="auto" w:line="240" w:before="0" w:after="240"/>
        <w:ind w:left="0" w:right="0" w:firstLine="940"/>
        <w:jc w:val="both"/>
        <w:rPr>
          <w:rFonts w:ascii="Times New Roman;sans-serif" w:hAnsi="Times New Roman;sans-serif"/>
          <w:b w:val="false"/>
          <w:color w:val="000000"/>
          <w:sz w:val="24"/>
        </w:rPr>
      </w:pPr>
      <w:r>
        <w:rPr>
          <w:rFonts w:ascii="Times New Roman;sans-serif" w:hAnsi="Times New Roman;sans-serif"/>
          <w:b w:val="false"/>
          <w:color w:val="000000"/>
          <w:sz w:val="24"/>
        </w:rPr>
        <w:t>xviii.one or more judgments or decrees shall be entered against any Integra Party or any Affiliate of any of the foregoing involving in the aggregate a liability (not paid or to the extent not covered by a reputable and solvent insurance company) and such judgments and decrees either shall be final and non-appealable or shall not be vacated, discharged or stayed or bonded pending appeal for any period of thirty (30) consecutive calendar days, and the aggregate amount of all such judgments equals or exceeds fifty million dollars ($50,000,000) (or solely with respect to the Borrower, fifteen thousand dollars ($15,000));</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then, and in any such event, the Administrative Agent may (or, at the direction of the Majority Group Agents shall) by notice to the Borrower (x) declare the Termination Date to have occurred (in which case the Termination Date shall be deemed to have occurred), (y) declare the Final Maturity Date to have occurred (in which case the Final Maturity Date shall be deemed to have occurred) and (z) declare the Aggregate Capital and all other Borrower Obligations to be immediately due and payable (in which case the Aggregate Capital and all other Borrower Obligations shall be immediately due and payable);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automatically upon the occurrence of any event (without any requirement for the giving of notice) described in </w:t>
      </w:r>
      <w:r>
        <w:rPr>
          <w:rFonts w:ascii="Times New Roman;sans-serif" w:hAnsi="Times New Roman;sans-serif"/>
          <w:b w:val="false"/>
          <w:color w:val="000000"/>
          <w:sz w:val="24"/>
          <w:u w:val="single"/>
        </w:rPr>
        <w:t>subsection (e)</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Section 9.01</w:t>
      </w:r>
      <w:r>
        <w:rPr>
          <w:rFonts w:ascii="Times New Roman;sans-serif" w:hAnsi="Times New Roman;sans-serif"/>
          <w:b w:val="false"/>
          <w:color w:val="000000"/>
          <w:sz w:val="24"/>
        </w:rPr>
        <w:t xml:space="preserve">, the Termination Date shall occur and the Aggregate Capital and all other Borrower Obligations shall be immediately due and payable. Upon any such declaration or designation or upon such automatic termination, the Administrative Agent and the other Secured Parties shall have, in addition to the rights and remedies which they may have under this Agreement and the other Transaction Documents, all other rights and remedies provided after default under the UCC and under other Applicable Law, which rights and remedies shall be cumulative. Any proceeds from liquidation of the Collateral shall be applied in the order of priority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jc w:val="center"/>
        <w:rPr/>
      </w:pPr>
      <w:r>
        <w:rPr>
          <w:rFonts w:ascii="Times New Roman;sans-serif" w:hAnsi="Times New Roman;sans-serif"/>
          <w:b/>
          <w:color w:val="000000"/>
          <w:sz w:val="24"/>
        </w:rPr>
        <w:t>ARTICLE 10</w:t>
      </w:r>
      <w:r>
        <w:rPr>
          <w:rFonts w:ascii="Times New Roman;sans-serif" w:hAnsi="Times New Roman;sans-serif"/>
          <w:b/>
          <w:color w:val="000000"/>
          <w:sz w:val="24"/>
        </w:rPr>
        <w:br/>
        <w:br/>
        <w:t>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 xml:space="preserve">Authorization and Action. Each Credit Party hereby appoints and authorizes the Administrative Agent to take such action as agent on its behalf and to exercise </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92100"/>
                <wp:effectExtent l="0" t="0" r="0" b="0"/>
                <wp:wrapNone/>
                <wp:docPr id="143" name="Frame14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such powers under this Agreement as are delegated to the Administrative Agent by the terms hereof, together with such powers as are reasonably incidental thereto. The Administrative Agent shall not have any duties other than those expressly set forth in the Transaction Documents, and no implied obligations or liabilities shall be read into any Transaction Document, or otherwise exist, against the Administrative Agent. The Administrative Agent does not assume, nor shall it be deemed to have assumed, any obligation to, or relationship of trust or agency with, the Borrower or any Affiliate thereof or any Credit Party except for any obligations expressly set forth herein. Notwithstanding any provision of this Agreement or any other Transaction Document, in no event shall the Administrative Agent ever be required to take any action which exposes the Administrative Agent to personal liability or which is contrary to any provision of any Transaction Document or Applicable Law.</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Administrative Agent’s Reliance, Etc. Neither the Administrative Agent nor any of its directors, officers, agents or employees shall be liable for any action taken or omitted to be taken by it or them as Administrative Agent under or in connection with this Agreement (including, without limitation, the Administrative Agent’s servicing, administering or collecting Pool Receivables in the event it replaces the Servicer in such capacity pursuant to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in the absence of its or their own gross negligence or willful misconduct. Without limiting the generality of the foregoing, the Administrative Agent: (a) may consult with legal counsel (including counsel for any Credit Party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(c) shall not have any duty to ascertain or to inquire as to the performance or observance of any of the terms, covenants or conditions of this Agreement on the part of any Credit Party or to inspect the property (including the books and records) of any Credit Party; (d) shall not be responsible to any Credit Party for the due execution, legality, validity, enforceability, genuineness, sufficiency or value of this Agreement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Administrative Agent and Affiliates. With respect to any Credit Extension or interests therein owned by any Credit Party that is also the Administrative Agent, such Credit Party shall have the same rights and powers under this Agreement as any other Credit Party and may exercise the same as though it were not the Administrative Agent. The Administrative Agent and any of its Affiliates may generally engage in any kind of business with the Borrower or any Affiliate thereof and any Person who may do business with or own securities of the Borrower or any Affiliate thereof, all as if the Administrative Agent were not the Administrative Agent hereunder and without any duty to account therefor to any other Secured Party.</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Indemnification of Administrative Agent. Each Committed Lender agrees to indemnify the Administrative Agent (to the extent not reimbursed by the Borrower or any Affiliate thereof), ratably according to the respective Percentage of such Committed Lender,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any other Transaction Document or any action taken or omitted by the Administrative Agent under this Agreement or any other Transaction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Committed Lender shall be liable for any portion of such liabilities, obligations,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92100"/>
                <wp:effectExtent l="0" t="0" r="0" b="0"/>
                <wp:wrapNone/>
                <wp:docPr id="144" name="Frame14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losses, damages, penalties, actions, judgments, suits, costs, expenses or disbursements resulting from the Administrative Agent’s gross negligence or willful misconduct.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Delegation of Duties. The Administrative Agent may execute any of its duties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Action or Inaction by Administrative Agent. The Administrative Agent shall in all cases be fully justified in failing or refusing to take action under any Transaction Document unless it shall first receive such advice or concurrence of the Group Agents or the Majority Group Agents, as the case may be, and assurance of its indemnification by the Committed Lenders, as it deems appropriate. The Administrative Agent shall in all cases be fully protected in acting, or in refraining from acting, under this Agreement or any other Transaction Document in accordance with a request or at the direction of the Group Agents or the Majority Group Agents, as the case may be, and such request or direction and any action taken or failure to act pursuant thereto shall be binding upon all Credit Parties. The Credit Parties and the Administrative Agent agree that unless any action to be taken by the Administrative Agent under a Transaction Document (i) specifically requires the advice or concurrence of all Group Agents or (ii) may be taken by the Administrative Agent alone or without any advice or concurrence of any Group Agent, then the Administrative Agent may take action based upon the advice or concurrence of the Majority Group Agents.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1.0g.</w:t>
      </w:r>
      <w:r>
        <w:rPr>
          <w:rFonts w:ascii="Times New Roman;sans-serif" w:hAnsi="Times New Roman;sans-serif"/>
          <w:b w:val="false"/>
          <w:color w:val="000000"/>
          <w:sz w:val="24"/>
        </w:rPr>
        <w:t>Notice of Events of Default; Action by Administrative Agent. The Administrative Agent shall not be deemed to have knowledge or notice of the occurrence of any Unmatured Event of Default or Event of Default unless the Administrative Agent has received notice from any Credit Party or the Borrower stating that an Unmatured Event of Default or Event of Default has occurred hereunder and describing such Unmatured Event of Default or Event of Default. If the Administrative Agent receives such a notice, it shall promptly give notice thereof to each Group Agent, whereupon each Group Agent shall promptly give notice thereof to its respective Conduit Lender(s) and Related Committed Lender(s). The Administrative Agent may (but shall not be obligated to) take such action, or refrain from taking such action, concerning an Unmatured Event of Default or Event of Default or any other matter hereunder as the Administrative Agent deems advisable and in the best interests of the Secured Parties.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1.0h.</w:t>
      </w:r>
      <w:r>
        <w:rPr>
          <w:rFonts w:ascii="Times New Roman;sans-serif" w:hAnsi="Times New Roman;sans-serif"/>
          <w:b w:val="false"/>
          <w:color w:val="000000"/>
          <w:sz w:val="24"/>
        </w:rPr>
        <w:t>Non-Reliance on Administrative Agent and Other Parties. Each Credit Party expressly acknowledges that neither the Administrative Agent nor any of its directors, officers, agents or employees has made any representations or warranties to it and that no act by the Administrative Agent hereafter taken, including any review of the affairs of the Borrower or any Affiliate thereof, shall be deemed to constitute any representation or warranty by the Administrative Agent. Each Credit Party represents and warrants to the Administrative Agent that, independently and without reliance upon the Administrative Agent or any other Credit Party and based on such documents and information as it has deemed appropriate, it has made and will continue to make its own appraisal of, and investigation into, the business, operations, property, prospects, financial and other conditions and creditworthiness of each Integra Party and the Pool Receivables and its own decision to enter into this Agreement and to take, or omit, action under any Transaction Document. Except for items expressly required to be delivered under any Transaction Document by the Administrative Agent to any Credit Party, the Administrative Agent shall not have any duty or responsibility to provide any Credit Party with any information concerning any Integra Party that comes into the possession of the Administrative Agent or any of its directors, officers, agents, employees, attorneys-in-fact or Affiliates.</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92100"/>
                <wp:effectExtent l="0" t="0" r="0" b="0"/>
                <wp:wrapNone/>
                <wp:docPr id="145" name="Frame14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1.0i.</w:t>
      </w:r>
      <w:r>
        <w:rPr>
          <w:rFonts w:ascii="Times New Roman;sans-serif" w:hAnsi="Times New Roman;sans-serif"/>
          <w:b w:val="false"/>
          <w:color w:val="000000"/>
          <w:sz w:val="24"/>
        </w:rPr>
        <w:t>Successor Administrative Agent.</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may, upon at least thirty (30) calendar days’ notice to the Borrower, the Servicer and each Group Agent, resign as Administrative Agent. Except as provided below, such resignation shall not become effective until a successor Administrative Agent is appointed by the Majority Group Agents as a successor Administrative Agent and has accepted such appointment. If no successor Administrative Agent shall have been so appointed by the Majority Group Agents, within thirty (30) calendar days after the departing Administrative Agent’s giving of notice of resignation, the departing Administrative Agent may, on behalf of the Secured Parties, appoint a successor Administrative Agent as successor Administrative Agent. If no successor Administrative Agent shall have been so appointed by the Majority Group Agents within sixty (60) calendar days after the departing Administrative Agent’s giving of notice of resignation, the departing Administrative Agent may, on behalf of the Secured Parties, petition a court of competent jurisdiction to appoint a successor Administrative Agent.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ii.Upon such acceptance of its appointment as Administrative Agent hereunder by a successor Administrative Agent, such successor Administrative Agent shall succeed to and become vested with all the rights and duties of the resigning Administrative Agent, and the resigning Administrative Agent shall be discharged from its duties and obligations under the Transaction Documents. After any resigning Administrative Agent’s resignation hereunder, the provisions of this </w:t>
      </w:r>
      <w:r>
        <w:rPr>
          <w:rFonts w:ascii="Times New Roman;sans-serif" w:hAnsi="Times New Roman;sans-serif"/>
          <w:b w:val="false"/>
          <w:color w:val="000000"/>
          <w:sz w:val="24"/>
          <w:u w:val="single"/>
        </w:rPr>
        <w:t>Article X</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XII</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the Administrative Agent.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1.j.</w:t>
      </w:r>
      <w:r>
        <w:rPr>
          <w:rFonts w:ascii="Times New Roman;sans-serif" w:hAnsi="Times New Roman;sans-serif"/>
          <w:b w:val="false"/>
          <w:color w:val="000000"/>
          <w:sz w:val="24"/>
        </w:rPr>
        <w:t xml:space="preserve">Structuring Agent. Each of the parties hereto hereby acknowledges and agrees that the Structuring Agent shall not have any right, power, obligation, liability, responsibility or duty under this Agreement, other than the Structuring Agent’s right to receive fees pursuant to </w:t>
      </w:r>
      <w:r>
        <w:rPr>
          <w:rFonts w:ascii="Times New Roman;sans-serif" w:hAnsi="Times New Roman;sans-serif"/>
          <w:b w:val="false"/>
          <w:color w:val="000000"/>
          <w:sz w:val="24"/>
          <w:u w:val="single"/>
        </w:rPr>
        <w:t>Section 2.03</w:t>
      </w:r>
      <w:r>
        <w:rPr>
          <w:color w:val="000000"/>
        </w:rPr>
        <w:t xml:space="preserve"> </w:t>
      </w:r>
      <w:r>
        <w:rPr>
          <w:rFonts w:ascii="Times New Roman;sans-serif" w:hAnsi="Times New Roman;sans-serif"/>
          <w:b w:val="false"/>
          <w:color w:val="000000"/>
          <w:sz w:val="24"/>
        </w:rPr>
        <w:t xml:space="preserve">and expenses (if any) pursuant to </w:t>
      </w:r>
      <w:r>
        <w:rPr>
          <w:rFonts w:ascii="Times New Roman;sans-serif" w:hAnsi="Times New Roman;sans-serif"/>
          <w:b w:val="false"/>
          <w:color w:val="000000"/>
          <w:sz w:val="24"/>
          <w:u w:val="single"/>
        </w:rPr>
        <w:t>Section 13.04</w:t>
      </w:r>
      <w:r>
        <w:rPr>
          <w:rFonts w:ascii="Times New Roman;sans-serif" w:hAnsi="Times New Roman;sans-serif"/>
          <w:b w:val="false"/>
          <w:color w:val="000000"/>
          <w:sz w:val="24"/>
        </w:rPr>
        <w:t>. Each Credit Party acknowledges that it has not relied, and will not rely, on the Structuring Agent in deciding to enter into this Agreement and to take, or omit to take, any action under any Transaction Document.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1.k.</w:t>
      </w:r>
      <w:r>
        <w:rPr>
          <w:rFonts w:ascii="Times New Roman;sans-serif" w:hAnsi="Times New Roman;sans-serif"/>
          <w:b w:val="false"/>
          <w:color w:val="000000"/>
          <w:sz w:val="24"/>
        </w:rPr>
        <w:t>Erroneous Payment.</w:t>
      </w:r>
    </w:p>
    <w:p>
      <w:pPr>
        <w:pStyle w:val="TextBody"/>
        <w:spacing w:lineRule="auto" w:line="240" w:before="0" w:after="240"/>
        <w:ind w:left="0" w:right="0" w:firstLine="1313"/>
        <w:jc w:val="both"/>
        <w:rPr/>
      </w:pPr>
      <w:r>
        <w:rPr>
          <w:rFonts w:ascii="Times New Roman;sans-serif" w:hAnsi="Times New Roman;sans-serif"/>
          <w:b w:val="false"/>
          <w:color w:val="000000"/>
          <w:sz w:val="24"/>
        </w:rPr>
        <w:t>i.Each Lender hereby agrees that (i) if the Administrative Agent notifies such Lender that the Administrative Agent has determined in its sole discretion that any funds received by such Lender from the Administrative Agent or any of its 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Times New Roman;sans-serif" w:hAnsi="Times New Roman;sans-serif"/>
          <w:b w:val="false"/>
          <w:color w:val="000000"/>
          <w:sz w:val="24"/>
          <w:u w:val="single"/>
        </w:rPr>
        <w:t>Erroneous Payment</w:t>
      </w:r>
      <w:r>
        <w:rPr>
          <w:color w:val="000000"/>
        </w:rPr>
        <w:t>”</w:t>
      </w:r>
      <w:r>
        <w:rPr>
          <w:rFonts w:ascii="Times New Roman;sans-serif" w:hAnsi="Times New Roman;sans-serif"/>
          <w:b w:val="false"/>
          <w:color w:val="000000"/>
          <w:sz w:val="24"/>
        </w:rPr>
        <w:t xml:space="preserve">) and demands the return of such Erroneous Payment (or a portion thereof), such Lender shall promptly, but in no event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 and (ii)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w:t>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92100"/>
                <wp:effectExtent l="0" t="0" r="0" b="0"/>
                <wp:wrapNone/>
                <wp:docPr id="146" name="Frame14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doctrine. A notice of the Administrative Agent to any Lender under this clause (a) shall be conclusive, absent manifest error.</w:t>
      </w:r>
    </w:p>
    <w:p>
      <w:pPr>
        <w:pStyle w:val="TextBody"/>
        <w:spacing w:lineRule="auto" w:line="240" w:before="0" w:after="240"/>
        <w:ind w:left="0" w:right="0" w:firstLine="1247"/>
        <w:jc w:val="both"/>
        <w:rPr/>
      </w:pPr>
      <w:r>
        <w:rPr>
          <w:rFonts w:ascii="Times New Roman;sans-serif" w:hAnsi="Times New Roman;sans-serif"/>
          <w:b w:val="false"/>
          <w:color w:val="000000"/>
          <w:sz w:val="24"/>
        </w:rPr>
        <w:t>ii.Without limiting immediately preceding clause (a), each Lender hereby further agrees that if it receives an Erroneous Payment from the Administrative Agent (or any of its Affiliates) (i) that is in an amount different than (other than a de minimis difference), or on a different date from, that specified in a notice of payment sent by the Administrative Agent (or any of its Affiliates) with respect to such Erroneous Payment (an “</w:t>
      </w:r>
      <w:r>
        <w:rPr>
          <w:rFonts w:ascii="Times New Roman;sans-serif" w:hAnsi="Times New Roman;sans-serif"/>
          <w:b w:val="false"/>
          <w:color w:val="000000"/>
          <w:sz w:val="24"/>
          <w:u w:val="single"/>
        </w:rPr>
        <w:t>Erroneous Payment Notice</w:t>
      </w:r>
      <w:r>
        <w:rPr>
          <w:color w:val="000000"/>
        </w:rPr>
        <w:t>”</w:t>
      </w:r>
      <w:r>
        <w:rPr>
          <w:rFonts w:ascii="Times New Roman;sans-serif" w:hAnsi="Times New Roman;sans-serif"/>
          <w:b w:val="false"/>
          <w:color w:val="000000"/>
          <w:sz w:val="24"/>
        </w:rPr>
        <w:t>), or (ii) that was not preceded or accompanied by an Erroneous Payment Notice, it shall be on notice that, in each such case, an error has been made with respect to such Erroneous Payment. Each Lender further agrees that, in each such case, or if it otherwise becomes aware an Erroneous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Erroneous Payment (or portion thereof) that was received by such Lender to the date such amount is repaid to the Administrative Agent in same day funds at the greater of the Overnight Bank Funding Rate and a rate determined by the Administrative Agent in accordance with banking industry rules on interbank compensation from time to time in effect.</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iii.The Borrower and the Servicer hereby agree that (i) in the event an Erroneous Payment (or portion thereof) is not recovered from any Lender that has received such Erroneous Payment (or portion thereof) for any reason, the Administrative Agent shall be subrogated to all the rights of such Lender with respect to such amount and (ii) an Erroneous Payment shall not pay, prepay, repay, discharge or otherwise satisfy any Obligations owed by the Borrower or the Servicer.</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iv.Each party’s obligations under this </w:t>
      </w:r>
      <w:r>
        <w:rPr>
          <w:rFonts w:ascii="Times New Roman;sans-serif" w:hAnsi="Times New Roman;sans-serif"/>
          <w:b w:val="false"/>
          <w:color w:val="000000"/>
          <w:sz w:val="24"/>
          <w:u w:val="single"/>
        </w:rPr>
        <w:t>Section 10.11</w:t>
      </w:r>
      <w:r>
        <w:rPr>
          <w:color w:val="000000"/>
        </w:rPr>
        <w:t xml:space="preserve"> </w:t>
      </w:r>
      <w:r>
        <w:rPr>
          <w:rFonts w:ascii="Times New Roman;sans-serif" w:hAnsi="Times New Roman;sans-serif"/>
          <w:b w:val="false"/>
          <w:color w:val="000000"/>
          <w:sz w:val="24"/>
        </w:rPr>
        <w:t>shall survive the resignation or replacement of the Administrative Agent or any transfer of rights or obligations by, or the replacement of, a Lender, the termination of the Commitments or the repayment, satisfaction or discharge of all Borrower Obligations (or any portion thereof) and the Servicer’s obligations (or any portion thereof) under any Transaction Document.</w:t>
      </w:r>
    </w:p>
    <w:p>
      <w:pPr>
        <w:pStyle w:val="TextBody"/>
        <w:spacing w:lineRule="auto" w:line="240" w:before="0" w:after="240"/>
        <w:jc w:val="center"/>
        <w:rPr/>
      </w:pPr>
      <w:r>
        <w:rPr>
          <w:rFonts w:ascii="Times New Roman;sans-serif" w:hAnsi="Times New Roman;sans-serif"/>
          <w:b/>
          <w:color w:val="000000"/>
          <w:sz w:val="24"/>
        </w:rPr>
        <w:t>ARTICLE 11</w:t>
      </w:r>
      <w:r>
        <w:rPr>
          <w:rFonts w:ascii="Times New Roman;sans-serif" w:hAnsi="Times New Roman;sans-serif"/>
          <w:b/>
          <w:color w:val="000000"/>
          <w:sz w:val="24"/>
        </w:rPr>
        <w:br/>
        <w:br/>
        <w:t>THE GROUP AGENTS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Authorization and Action. Each Credit Party that belongs to a Group hereby appoints and authorizes the Group Agent for such Group to take such action as agent on its behalf and to exercise such powers under this Agreement as are delegated to such Group Agent by the terms hereof, together with such powers as are reasonably incidental thereto. No Group Agent shall have any duties other than those expressly set forth in the Transaction Documents, and no implied obligations or liabilities shall be read into any Transaction Document, or otherwise exist, against any Group Agent. No Group Agent assumes, nor shall it be deemed to have assumed, any obligation to, or relationship of trust or agency with the Borrower or any Affiliate thereof, any Lender except for any obligations expressly set forth herein. Notwithstanding any provision of this Agreement or any other Transaction Document, in no event shall any Group Agent ever be required to take any action which exposes such Group Agent to personal liability or which is contrary to any provision of any Transaction Document or Applicable Law.</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Group Agent’s Reliance, Etc. No Group Agent nor any of its directors, officers, agents or employees shall be liable for any action taken or omitted to be taken by it or them as a Group Agent under or in connection with this Agreement or any other </w:t>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92100"/>
                <wp:effectExtent l="0" t="0" r="0" b="0"/>
                <wp:wrapNone/>
                <wp:docPr id="147" name="Frame14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Transaction Documents in the absence of its or their own gross negligence or willful misconduct. Without limiting the generality of the foregoing, a Group Agent: (a) may consult with legal counsel (including counsel for the Administrative Agent, the Borrower or the Servicer), independent certified public accountants and other experts selected by it and shall not be liable for any action taken or omitted to be taken in good faith by it in accordance with the advice of such counsel, accountants or experts; (b) makes no warranty or representation to any Credit Party (whether written or oral) and shall not be responsible to any Credit Party for any statements, warranties or representations (whether written or oral) made by any other party in or in connection with this Agreement or any other Transaction Document; (c) shall not have any duty to ascertain or to inquire as to the performance or observance of any of the terms, covenants or conditions of this Agreement or any other Transaction Document on the part of the Borrower or any Affiliate thereof or any other Person or to inspect the property (including the books and records) of the Borrower or any Affiliate thereof; (d) shall not be responsible to any Credit Party for the due execution, legality, validity, enforceability, genuineness, sufficiency or value of this Agreement, any other Transaction Documents or any other instrument or document furnished pursuant hereto; and (e) shall be entitled to rely, and shall be fully protected in so relying, upon any notice (including notice by telephone), consent, certificate or other instrument or writing (which may be by facsimile) believed by it to be genuine and signed or sent by the proper party or parties.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Group Agent and Affiliates. With respect to any Credit Extension or interests therein owned by any Credit Party that is also a Group Agent, such Credit Party shall have the same rights and powers under this Agreement as any other Lender and may exercise the same as though it were not a Group Agent. A Group Agent and any of its Affiliates may generally engage in any kind of business with the Borrower or any Affiliate thereof and any Person who may do business with or own securities of the Borrower or any Affiliate thereof or any of their respective Affiliates, all as if such Group Agent were not a Group Agent hereunder and without any duty to account therefor to any other Secured Party.</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Indemnification of Group Agents. Each Committed Lender in any Group agrees to indemnify the Group Agent for such Group (to the extent not reimbursed by the Borrower or any Affiliate thereof), ratably according to the proportion of the Percentage of such Committed Lender to the aggregate Percentages of all Committed Lenders in such Group, from and against any and all liabilities, obligations, losses, damages, penalties, actions, judgments, suits, costs, expenses or disbursements of any kind or nature whatsoever which may be imposed on, incurred by, or asserted against such Group Agent in any way relating to or arising out of this Agreement or any other Transaction Document or any action taken or omitted by such Group Agent under this Agreement or any other Transaction Document;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no Committed Lender shall be liable for any portion of such liabilities, obligations, losses, damages, penalties, actions, judgments, suits, costs, expenses or disbursements resulting from such Group Agent’s gross negligence or willful misconduct.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Delegation of Duties. Each Group Agent may execute any of its duties through agents or attorneys-in-fact and shall be entitled to advice of counsel concerning all matters pertaining to such duties. No Group Agent shall be responsible for the negligence or misconduct of any agents or attorneys-in-fact selected by it with reasonable care.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 xml:space="preserve">Notice of Events of Default. No Group Agent shall be deemed to have knowledge or notice of the occurrence of any Unmatured Event of Default or Event of Default unless such Group Agent has received notice from the Administrative Agent, any other Group Agent, any other Credit Party, the Servicer or the Borrower stating that an Unmatured Event of Default or Event of Default has occurred hereunder and describing such Unmatured Event of Default or Event of Default. If a Group Agent receives such a notice, it shall promptly give notice thereof to the Credit Parties in its Group and to the Administrative Agent (but only if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92100"/>
                <wp:effectExtent l="0" t="0" r="0" b="0"/>
                <wp:wrapNone/>
                <wp:docPr id="148" name="Frame14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such notice received by such Group Agent was not sent by the Administrative Agent). A Group Agent may take such action concerning an Unmatured Event of Default or Event of Default as may be directed by Committed Lenders in its Group representing a majority of the Commitments in such Group (subject to the other provisions of this </w:t>
      </w:r>
      <w:r>
        <w:rPr>
          <w:rFonts w:ascii="Times New Roman;sans-serif" w:hAnsi="Times New Roman;sans-serif"/>
          <w:b w:val="false"/>
          <w:color w:val="000000"/>
          <w:sz w:val="24"/>
          <w:u w:val="single"/>
        </w:rPr>
        <w:t>Article XI</w:t>
      </w:r>
      <w:r>
        <w:rPr>
          <w:rFonts w:ascii="Times New Roman;sans-serif" w:hAnsi="Times New Roman;sans-serif"/>
          <w:b w:val="false"/>
          <w:color w:val="000000"/>
          <w:sz w:val="24"/>
        </w:rPr>
        <w:t>), but until such Group Agent receives such directions, such Group Agent may (but shall not be obligated to) take such action, or refrain from taking such action, as such Group Agent deems advisable and in the best interests of the Conduit Lenders and Committed Lenders in its Group.</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1.0g.</w:t>
      </w:r>
      <w:r>
        <w:rPr>
          <w:rFonts w:ascii="Times New Roman;sans-serif" w:hAnsi="Times New Roman;sans-serif"/>
          <w:b w:val="false"/>
          <w:color w:val="000000"/>
          <w:sz w:val="24"/>
        </w:rPr>
        <w:t>Non-Reliance on Group Agent and Other Parties. Each Credit Party expressly acknowledges that neither the Group Agent for its Group nor any of such Group Agent’s directors, officers, agents or employees has made any representations or warranties to it and that no act by such Group Agent hereafter taken, including any review of the affairs of the Borrower or any Affiliate thereof, shall be deemed to constitute any representation or warranty by such Group Agent. Each Credit Party represents and warrants to the Group Agent for its Group that, independently and without reliance upon such Group Agent, any other Group Agent, the Administrative Agent or any other Credit Party and based on such documents and information as it has deemed appropriate, it has made and will continue to make its own appraisal of, and investigation into, the business, operations, property, prospects, financial and other conditions and creditworthiness of the Borrower or any Affiliate thereof and the Receivables and its own decision to enter into this Agreement and to take, or omit, action under any Transaction Document. Except for items expressly required to be delivered under any Transaction Document by a Group Agent to any Credit Party in its Group, no Group Agent shall have any duty or responsibility to provide any Credit Party in its Group with any information concerning the Borrower or any Affiliate thereof that comes into the possession of such Group Agent or any of its directors, officers, agents, employees, attorneys-in-fact or Affiliates.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1.0h.</w:t>
      </w:r>
      <w:r>
        <w:rPr>
          <w:rFonts w:ascii="Times New Roman;sans-serif" w:hAnsi="Times New Roman;sans-serif"/>
          <w:b w:val="false"/>
          <w:color w:val="000000"/>
          <w:sz w:val="24"/>
        </w:rPr>
        <w:t xml:space="preserve">Successor Group Agent. Any Group Agent may, upon at least thirty (30) days’ notice to the Administrative Agent, the Borrower, the Servicer and the Credit Parties in its Group, resign as Group Agent for its Group. Such resignation shall not become effective until a successor Group Agent is appointed by the Lender(s) in such Group. Upon such acceptance of its appointment as Group Agent for such Group hereunder by a successor Group Agent, such successor Group Agent shall succeed to and become vested with all the rights and duties of the resigning Group Agent, and the resigning Group Agent shall be discharged from its duties and obligations under the Transaction Documents. After any resigning Group Agent’s resignation hereunder, the provisions of this </w:t>
      </w:r>
      <w:r>
        <w:rPr>
          <w:rFonts w:ascii="Times New Roman;sans-serif" w:hAnsi="Times New Roman;sans-serif"/>
          <w:b w:val="false"/>
          <w:color w:val="000000"/>
          <w:sz w:val="24"/>
          <w:u w:val="single"/>
        </w:rPr>
        <w:t>Article XI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Article XII</w:t>
      </w:r>
      <w:r>
        <w:rPr>
          <w:color w:val="000000"/>
        </w:rPr>
        <w:t xml:space="preserve"> </w:t>
      </w:r>
      <w:r>
        <w:rPr>
          <w:rFonts w:ascii="Times New Roman;sans-serif" w:hAnsi="Times New Roman;sans-serif"/>
          <w:b w:val="false"/>
          <w:color w:val="000000"/>
          <w:sz w:val="24"/>
        </w:rPr>
        <w:t>shall inure to its benefit as to any actions taken or omitted to be taken by it while it was a Group Agent.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1.0i.</w:t>
      </w:r>
      <w:r>
        <w:rPr>
          <w:rFonts w:ascii="Times New Roman;sans-serif" w:hAnsi="Times New Roman;sans-serif"/>
          <w:b w:val="false"/>
          <w:color w:val="000000"/>
          <w:sz w:val="24"/>
        </w:rPr>
        <w:t>Reliance on Group Agent. Unless otherwise advised in writing by a Group Agent or by any Credit Party in such Group Agent’s Group, each party to this Agreement may assume that (i) such Group Agent is acting for the benefit and on behalf of each of the Credit Parties in its Group, as well as for the benefit of each assignee or other transferee from any such Person and (ii) each action taken by such Group Agent has been duly authorized and approved by all necessary action on the part of the Credit Parties in its Group.</w:t>
      </w:r>
    </w:p>
    <w:p>
      <w:pPr>
        <w:pStyle w:val="TextBody"/>
        <w:spacing w:lineRule="auto" w:line="240" w:before="0" w:after="240"/>
        <w:jc w:val="center"/>
        <w:rPr/>
      </w:pPr>
      <w:r>
        <w:rPr>
          <w:rFonts w:ascii="Times New Roman;sans-serif" w:hAnsi="Times New Roman;sans-serif"/>
          <w:b/>
          <w:color w:val="000000"/>
          <w:sz w:val="24"/>
        </w:rPr>
        <w:t>ARTICLE 12</w:t>
      </w:r>
      <w:r>
        <w:rPr>
          <w:rFonts w:ascii="Times New Roman;sans-serif" w:hAnsi="Times New Roman;sans-serif"/>
          <w:b/>
          <w:color w:val="000000"/>
          <w:sz w:val="24"/>
        </w:rPr>
        <w:br/>
        <w:br/>
        <w:t>INDEMNIFICATION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Indemnities by the Borrower.</w:t>
      </w:r>
    </w:p>
    <w:p>
      <w:pPr>
        <w:pStyle w:val="TextBody"/>
        <w:spacing w:lineRule="auto" w:line="240" w:before="0" w:after="240"/>
        <w:ind w:left="0" w:right="0" w:firstLine="1313"/>
        <w:jc w:val="both"/>
        <w:rPr/>
      </w:pPr>
      <w:r>
        <w:rPr>
          <w:rFonts w:ascii="Times New Roman;sans-serif" w:hAnsi="Times New Roman;sans-serif"/>
          <w:b w:val="false"/>
          <w:color w:val="000000"/>
          <w:sz w:val="24"/>
        </w:rPr>
        <w:t>i.Without limiting any other rights that the Administrative Agent, the Credit Parties, the Affected Persons and their respective assigns, officers, directors, agents and employees (each, a “</w:t>
      </w:r>
      <w:r>
        <w:rPr>
          <w:rFonts w:ascii="Times New Roman;sans-serif" w:hAnsi="Times New Roman;sans-serif"/>
          <w:b w:val="false"/>
          <w:color w:val="000000"/>
          <w:sz w:val="24"/>
          <w:u w:val="single"/>
        </w:rPr>
        <w:t>Borrower Indemnified Party</w:t>
      </w:r>
      <w:r>
        <w:rPr>
          <w:color w:val="000000"/>
        </w:rPr>
        <w:t>”</w:t>
      </w:r>
      <w:r>
        <w:rPr>
          <w:rFonts w:ascii="Times New Roman;sans-serif" w:hAnsi="Times New Roman;sans-serif"/>
          <w:b w:val="false"/>
          <w:color w:val="000000"/>
          <w:sz w:val="24"/>
        </w:rPr>
        <w:t xml:space="preserve">) may have hereunder or under Applicable Law, the Borrower hereby agrees to indemnify each Borrower Indemnified Party from and </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92100"/>
                <wp:effectExtent l="0" t="0" r="0" b="0"/>
                <wp:wrapNone/>
                <wp:docPr id="149" name="Frame14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against any and all claims, expenses, damages, losses and liabilities suffered or sustained (including Attorney Costs) (all of the foregoing being collectively referred to as “</w:t>
      </w:r>
      <w:r>
        <w:rPr>
          <w:rFonts w:ascii="Times New Roman;sans-serif" w:hAnsi="Times New Roman;sans-serif"/>
          <w:b w:val="false"/>
          <w:color w:val="000000"/>
          <w:sz w:val="24"/>
          <w:u w:val="single"/>
        </w:rPr>
        <w:t>Borrower Indemnified Amounts</w:t>
      </w:r>
      <w:r>
        <w:rPr>
          <w:color w:val="000000"/>
        </w:rPr>
        <w:t>”</w:t>
      </w:r>
      <w:r>
        <w:rPr>
          <w:rFonts w:ascii="Times New Roman;sans-serif" w:hAnsi="Times New Roman;sans-serif"/>
          <w:b w:val="false"/>
          <w:color w:val="000000"/>
          <w:sz w:val="24"/>
        </w:rPr>
        <w:t xml:space="preserve">) arising out of, relating to or in connection this Agreement or any other Transaction Document or the use of proceeds of the Credit Extensions or the security interest in respect of any Pool Receivable or any other Collateral; </w:t>
      </w:r>
      <w:r>
        <w:rPr>
          <w:rFonts w:ascii="Times New Roman;sans-serif" w:hAnsi="Times New Roman;sans-serif"/>
          <w:b w:val="false"/>
          <w:color w:val="000000"/>
          <w:sz w:val="24"/>
          <w:u w:val="single"/>
        </w:rPr>
        <w:t>excluding</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(x) Borrower Indemnified Amounts to the extent a final non-appealable judgment of a court of competent jurisdiction holds that such Borrower Indemnified Amounts resulted solely from the gross negligence, bad faith, willful misconduct by the Borrower Indemnified Party seeking indemnification, (y) Borrower Indemnified Amounts to the extent a final non-appealable judgment of a court of competent jurisdiction holds that such Borrower Indemnified Amounts resulted solely from a material breach of a Transaction Document by the Borrower Indemnified Party seeking indemnification and (z) Taxes that are covered by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Without limiting or being limited by the foregoing, the Borrower shall pay on demand (it being understood that if any portion of such payment obligation is made from Collections, such payment will be made at the time and in the order of priority set forth in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 xml:space="preserve">), to each Borrower Indemnified Party any and all amounts necessary to indemnify such Borrower Indemnified Party from and against any and all Borrower Indemnified Amounts relating to or resulting from any of the following (but excluding Borrower Indemnified Amounts and Taxes described in </w:t>
      </w:r>
      <w:r>
        <w:rPr>
          <w:rFonts w:ascii="Times New Roman;sans-serif" w:hAnsi="Times New Roman;sans-serif"/>
          <w:b w:val="false"/>
          <w:color w:val="000000"/>
          <w:sz w:val="24"/>
          <w:u w:val="single"/>
        </w:rPr>
        <w:t>clauses (x)</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(z)</w:t>
      </w:r>
      <w:r>
        <w:rPr>
          <w:color w:val="000000"/>
        </w:rPr>
        <w:t xml:space="preserve"> </w:t>
      </w:r>
      <w:r>
        <w:rPr>
          <w:rFonts w:ascii="Times New Roman;sans-serif" w:hAnsi="Times New Roman;sans-serif"/>
          <w:b w:val="false"/>
          <w:color w:val="000000"/>
          <w:sz w:val="24"/>
        </w:rPr>
        <w:t>above):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1.any Pool Receivable which the Borrower or the Servicer includes as an Eligible Receivable as part of the Net Receivables Pool Balance but which is not an Eligible Receivable at such time;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2.any representation, warranty or statement made or deemed made by the Borrower (or any of its respective officers) under or in connection with this Agreement, any of the other Transaction Documents, any Information Package, Interim Report or any other information or report delivered by or on behalf of the Borrower pursuant hereto which shall have been untrue or incorrect when made or deemed made;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failure by the Borrower to comply with any Applicable Law with respect to any Pool Receivable or the related Contract; or the failure of any Pool Receivable or the related Contract to conform to any such Applicable Law;</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failure to vest in the Administrative Agent a first priority perfected security interest in all or any portion of the Collateral, in each case free and clear of any Adverse Claim;</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5.the failure to have filed, or any delay in filing, financing statements, financing statement amendments, continuation statements or other similar instruments or documents under the UCC of any applicable jurisdiction or other Applicable Laws with respect to any Pool Receivable and the other Collateral and Collections in respect thereof, whether at the time of any Credit Extension or at any subsequent time;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6.any dispute, claim or defense (other than discharge in bankruptcy), of an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or relating to collection activities with respect to such Pool Receivable;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7.any failure of the Borrower to perform any of its duties or obligations in accordance with the provisions hereof and of each other Transaction </w:t>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92100"/>
                <wp:effectExtent l="0" t="0" r="0" b="0"/>
                <wp:wrapNone/>
                <wp:docPr id="150" name="Frame15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Document related to Pool Receivables or to timely and fully comply with the Credit and Collection Procedures in regard to each Pool Receivable;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8.any products liability, environmental or other claim arising out of or in connection with any Pool Receivable or other merchandise, goods or services which are the subject of or related to any Pool Receivable;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9.the commingling of Collections of Pool Receivables at any time with other funds;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10.any investigation, litigation or proceeding (actual or threatened) related to this Agreement or any other Transaction Document or the use of proceeds of any Credit Extensions or in respect of any Pool Receivable or other Collateral or any related Contract;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11.any failure of the Borrower to comply with its covenants, obligations and agreements contained in this Agreement or any other Transaction Document;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12.any offset, setoff, adjustment, or other non-cash reduction of any Pool Receivable (including Deemed Collections) not arising from the bankruptcy or insolvency, lack of creditworthiness or other financial default or inability to pay of the related Obligor any undisputed indebtedness;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13.any claim brought by any Person other than a Borrower Indemnified Party arising from any activity by the Borrower or any Affiliate of the Borrower in servicing, administering or collecting any Pool Receivable;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14.the failure by the Borrower to pay when due any taxes, including, without limitation, sales, excise or personal property taxes;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15.any failure of a Collection Account Bank to comply with the terms of the applicable Account Control Agreement, the termination by a Collection Account Bank prior to the appointment of a successor collection account bank or any amounts payable by the Administrative Agent to a Collection Account Bank under any Account Control Agreement;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16.any dispute, claim, offset or defense (other than discharge in bankruptcy of the Obligor) of the Obligor to the payment of any Pool Receivable (including, without limitation, a defense based on such Pool Receivable or the related Contract not being a legal, valid and binding obligation of such Obligor enforceable against it in accordance with its terms), or any other claim resulting from the sale of goods or the rendering of services related to such Pool Receivable or the furnishing or failure to furnish any such goods or services or other similar claim or defense not arising from the financial inability of any Obligor to pay undisputed indebtedness;</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17.any action taken by the Administrative Agent as attorney-in-fact for the Borrower, any Originator or the Servicer pursuant to this Agreement or any other Transaction Document;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18.the use of proceeds of any Credit Extension; </w:t>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92100"/>
                <wp:effectExtent l="0" t="0" r="0" b="0"/>
                <wp:wrapNone/>
                <wp:docPr id="151" name="Frame15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19.any reduction in Capital as a result of the distribution of Collections if all or a portion of such distributions shall thereafter be rescinded or otherwise must be returned for any reason; </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20.any failure by any Originator to provide an Obligor with an invoice evidencing indebtedness related to a Pool Receivable;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21.payment, prepayment, conversion or renewal of any Loan to which a Term SOFR Option or Daily SOFR Option applies on a day other than the last day of the corresponding Interest Period (whether or not any such payment or prepayment is mandatory, voluntary or automatic and whether or not any such payment or prepayment is then due); or</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22.any assignment of a Loan under the Term SOFR Option or the Daily SOFR Rate Option on a day other than the last day of the Interest Period therefor as a result of a request by the Borrower pursuant to </w:t>
      </w:r>
      <w:r>
        <w:rPr>
          <w:rFonts w:ascii="Times New Roman;sans-serif" w:hAnsi="Times New Roman;sans-serif"/>
          <w:b w:val="false"/>
          <w:color w:val="000000"/>
          <w:sz w:val="24"/>
          <w:u w:val="single"/>
        </w:rPr>
        <w:t>Section 4.01(f)</w:t>
      </w:r>
      <w:r>
        <w:rPr>
          <w:rFonts w:ascii="Times New Roman;sans-serif" w:hAnsi="Times New Roman;sans-serif"/>
          <w:b w:val="false"/>
          <w:color w:val="000000"/>
          <w:sz w:val="24"/>
        </w:rPr>
        <w: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ii.Notwithstanding anything to the contrary in this Agreement, solely for purposes of the Borrower’s indemnification obligations in </w:t>
      </w:r>
      <w:r>
        <w:rPr>
          <w:rFonts w:ascii="Times New Roman;sans-serif" w:hAnsi="Times New Roman;sans-serif"/>
          <w:b w:val="false"/>
          <w:color w:val="000000"/>
          <w:sz w:val="24"/>
          <w:u w:val="single"/>
        </w:rPr>
        <w:t>clauses (ii)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(iii)</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(vii)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(xi)</w:t>
      </w:r>
      <w:r>
        <w:rPr>
          <w:color w:val="000000"/>
        </w:rPr>
        <w:t xml:space="preserve"> </w:t>
      </w:r>
      <w:r>
        <w:rPr>
          <w:rFonts w:ascii="Times New Roman;sans-serif" w:hAnsi="Times New Roman;sans-serif"/>
          <w:b w:val="false"/>
          <w:color w:val="000000"/>
          <w:sz w:val="24"/>
        </w:rPr>
        <w:t xml:space="preserve">of this </w:t>
      </w:r>
      <w:r>
        <w:rPr>
          <w:rFonts w:ascii="Times New Roman;sans-serif" w:hAnsi="Times New Roman;sans-serif"/>
          <w:b w:val="false"/>
          <w:color w:val="000000"/>
          <w:sz w:val="24"/>
          <w:u w:val="single"/>
        </w:rPr>
        <w:t>Article XII</w:t>
      </w:r>
      <w:r>
        <w:rPr>
          <w:rFonts w:ascii="Times New Roman;sans-serif" w:hAnsi="Times New Roman;sans-serif"/>
          <w:b w:val="false"/>
          <w:color w:val="000000"/>
          <w:sz w:val="24"/>
        </w:rPr>
        <w:t>, any representation, warranty or covenant qualified by the occurrence or non-occurrence of a material adverse effect or similar concepts of materiality shall be deemed to be not so qualified.</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iii.If for any reason the foregoing indemnification is unavailable to any Borrower Indemnified Party or insufficient to hold it harmless, then the Borrower shall contribute to such Borrower Indemnified Party the amount paid or payable by such Borrower Indemnified Party as a result of such loss, claim, damage or liability in such proportion as is appropriate to reflect the relative economic interests of the Borrower and its Affiliates on the one hand and such Borrower Indemnified Party on the other hand in the matters contemplated by this Agreement as well as the relative fault of the Borrower and its Affiliates and such Borrower Indemnified Party with respect to such loss, claim, damage or liability and any other relevant equitable considerations. The reimbursement, indemnity and contribution obligations of the Borrower under this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shall be in addition to any liability which the Borrower may otherwise have, shall extend upon the same terms and conditions to each Borrower Indemnified Party, and shall be binding upon and inure to the benefit of any successors, assigns, heirs and personal representatives of the Borrower and the Borrower Indemnified Parties.</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iv.Any indemnification or contribution under this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shall survive the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Indemnification by the Servicer.</w:t>
      </w:r>
    </w:p>
    <w:p>
      <w:pPr>
        <w:pStyle w:val="TextBody"/>
        <w:spacing w:lineRule="auto" w:line="240" w:before="0" w:after="240"/>
        <w:ind w:left="0" w:right="0" w:firstLine="1313"/>
        <w:jc w:val="both"/>
        <w:rPr/>
      </w:pPr>
      <w:r>
        <w:rPr>
          <w:rFonts w:ascii="Times New Roman;sans-serif" w:hAnsi="Times New Roman;sans-serif"/>
          <w:b w:val="false"/>
          <w:color w:val="000000"/>
          <w:sz w:val="24"/>
        </w:rPr>
        <w:t>i.The Servicer hereby agrees to indemnify and hold harmless the Borrower, the Administrative Agent, the Credit Parties, the Affected Persons and their respective assigns, officers, directors, agents and employees (each, a “</w:t>
      </w:r>
      <w:r>
        <w:rPr>
          <w:rFonts w:ascii="Times New Roman;sans-serif" w:hAnsi="Times New Roman;sans-serif"/>
          <w:b w:val="false"/>
          <w:color w:val="000000"/>
          <w:sz w:val="24"/>
          <w:u w:val="single"/>
        </w:rPr>
        <w:t>Servicer Indemnified Party</w:t>
      </w:r>
      <w:r>
        <w:rPr>
          <w:color w:val="000000"/>
        </w:rPr>
        <w:t>”</w:t>
      </w:r>
      <w:r>
        <w:rPr>
          <w:rFonts w:ascii="Times New Roman;sans-serif" w:hAnsi="Times New Roman;sans-serif"/>
          <w:b w:val="false"/>
          <w:color w:val="000000"/>
          <w:sz w:val="24"/>
        </w:rPr>
        <w:t>), from and against any and all claims, expenses, damages, losses and liabilities suffered or sustained by reason of any acts, omissions or alleged acts or omissions arising out of activities of the Servicer pursuant to this Agreement or any other Transaction Document, including any judgment, award, settlement, Attorney Costs and other costs or expenses incurred in connection with the defense of any actual or threatened action, proceeding or claim (all of the foregoing being collectively referred to as, “</w:t>
      </w:r>
      <w:r>
        <w:rPr>
          <w:rFonts w:ascii="Times New Roman;sans-serif" w:hAnsi="Times New Roman;sans-serif"/>
          <w:b w:val="false"/>
          <w:color w:val="000000"/>
          <w:sz w:val="24"/>
          <w:u w:val="single"/>
        </w:rPr>
        <w:t>Servicer Indemnified Amounts</w:t>
      </w:r>
      <w:r>
        <w:rPr>
          <w:color w:val="000000"/>
        </w:rPr>
        <w:t>”</w:t>
      </w:r>
      <w:r>
        <w:rPr>
          <w:rFonts w:ascii="Times New Roman;sans-serif" w:hAnsi="Times New Roman;sans-serif"/>
          <w:b w:val="false"/>
          <w:color w:val="000000"/>
          <w:sz w:val="24"/>
        </w:rPr>
        <w:t xml:space="preserve">); excluding (w) Servicer Indemnified Amounts to the extent a final non-appealable judgment of a court of competent jurisdiction holds that such Servicer Indemnified Amounts resulted solely from the gross negligence, bad faith or willful misconduct by the Servicer Indemnified Party seeking indemnification, (x) Servicer Indemnified Amounts to the extent a final non-appealable judgment of a court of competent jurisdiction holds </w:t>
      </w:r>
      <w:r>
        <w:br w:type="page"/>
      </w: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92100"/>
                <wp:effectExtent l="0" t="0" r="0" b="0"/>
                <wp:wrapNone/>
                <wp:docPr id="152" name="Frame15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that such Servicer Indemnified Amounts resulted solely from a material breach of a Transaction Document by the Servicer Indemnified Party seeking indemnification, (y) Taxes that are covered by </w:t>
      </w:r>
      <w:r>
        <w:rPr>
          <w:rFonts w:ascii="Times New Roman;sans-serif" w:hAnsi="Times New Roman;sans-serif"/>
          <w:b w:val="false"/>
          <w:color w:val="000000"/>
          <w:sz w:val="24"/>
          <w:u w:val="single"/>
        </w:rPr>
        <w:t>Section 4.03</w:t>
      </w:r>
      <w:r>
        <w:rPr>
          <w:color w:val="000000"/>
        </w:rPr>
        <w:t xml:space="preserve"> </w:t>
      </w:r>
      <w:r>
        <w:rPr>
          <w:rFonts w:ascii="Times New Roman;sans-serif" w:hAnsi="Times New Roman;sans-serif"/>
          <w:b w:val="false"/>
          <w:color w:val="000000"/>
          <w:sz w:val="24"/>
        </w:rPr>
        <w:t xml:space="preserve">and (z) Servicer Indemnified Amounts to the extent the same includes losses in respect of Pool Receivables that are uncollectible solely on account of the insolvency, bankruptcy, lack of creditworthiness or other financial inability to pay of the related Obligor. Without limiting or being limited by the foregoing, the Servicer shall pay on demand, to each Servicer Indemnified Party any and all amounts necessary to indemnify such Servicer Indemnified Party from and against any and all Servicer Indemnified Amounts relating to or resulting from any of the following (but excluding Servicer Indemnified Amounts described in </w:t>
      </w:r>
      <w:r>
        <w:rPr>
          <w:rFonts w:ascii="Times New Roman;sans-serif" w:hAnsi="Times New Roman;sans-serif"/>
          <w:b w:val="false"/>
          <w:color w:val="000000"/>
          <w:sz w:val="24"/>
          <w:u w:val="single"/>
        </w:rPr>
        <w:t>clauses (z)</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(y)</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(z)</w:t>
      </w:r>
      <w:r>
        <w:rPr>
          <w:color w:val="000000"/>
        </w:rPr>
        <w:t xml:space="preserve"> </w:t>
      </w:r>
      <w:r>
        <w:rPr>
          <w:rFonts w:ascii="Times New Roman;sans-serif" w:hAnsi="Times New Roman;sans-serif"/>
          <w:b w:val="false"/>
          <w:color w:val="000000"/>
          <w:sz w:val="24"/>
        </w:rPr>
        <w:t>above):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1.any representation, warranty or statement made or deemed made by the Servicer (or any of its respective officers) under or in connection with this Agreement, any of the other Transaction Documents, any Information Package, Interim Report or any other information or report delivered by or on behalf of the Servicer pursuant hereto which shall have been untrue or incorrect when made or deemed made;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2.the failure by the Servicer to comply with any Applicable Law with respect to any Pool Receivable or the related Contract; or the failure of any Pool Receivable or the related Contract to conform to any such Applicable Law;</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commingling of Collections of Pool Receivables at any time with other funds; or</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4.any failure of the Servicer to comply with its covenants, obligations and agreements contained in this Agreement or any other Transaction Document (including, without limitation, the failure or delay by the Servicer to provide, or cause the applicable Originator to provide, any Obligor with an invoice or other evidence of Indebtedness related to a Pool Receivable). </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ii.If for any reason the foregoing indemnification is unavailable to any Servicer Indemnified Party or insufficient to hold it harmless, then the Servicer shall contribute to the amount paid or payable by such Servicer Indemnified Party as a result of such loss, claim, damage or liability in such proportion as is appropriate to reflect the relative economic interests of the Servicer and its Affiliates on the one hand and such Servicer Indemnified Party on the other hand in the matters contemplated by this Agreement as well as the relative fault of the Servicer and its Affiliates and such Servicer Indemnified Party with respect to such loss, claim, damage or liability and any other relevant equitable considerations. The reimbursement, indemnity and contribution obligations of the Servicer under this </w:t>
      </w:r>
      <w:r>
        <w:rPr>
          <w:rFonts w:ascii="Times New Roman;sans-serif" w:hAnsi="Times New Roman;sans-serif"/>
          <w:b w:val="false"/>
          <w:color w:val="000000"/>
          <w:sz w:val="24"/>
          <w:u w:val="single"/>
        </w:rPr>
        <w:t>Section 12.02</w:t>
      </w:r>
      <w:r>
        <w:rPr>
          <w:color w:val="000000"/>
        </w:rPr>
        <w:t xml:space="preserve"> </w:t>
      </w:r>
      <w:r>
        <w:rPr>
          <w:rFonts w:ascii="Times New Roman;sans-serif" w:hAnsi="Times New Roman;sans-serif"/>
          <w:b w:val="false"/>
          <w:color w:val="000000"/>
          <w:sz w:val="24"/>
        </w:rPr>
        <w:t>shall be in addition to any liability which the Servicer may otherwise have, shall extend upon the same terms and conditions to Servicer Indemnified Party, and shall be binding upon and inure to the benefit of any successors, assigns, heirs and personal representatives of the Servicer and the Servicer Indemnified Parties.</w:t>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iii.Any indemnification or contribution under this </w:t>
      </w:r>
      <w:r>
        <w:rPr>
          <w:rFonts w:ascii="Times New Roman;sans-serif" w:hAnsi="Times New Roman;sans-serif"/>
          <w:b w:val="false"/>
          <w:color w:val="000000"/>
          <w:sz w:val="24"/>
          <w:u w:val="single"/>
        </w:rPr>
        <w:t>Section 12.02</w:t>
      </w:r>
      <w:r>
        <w:rPr>
          <w:color w:val="000000"/>
        </w:rPr>
        <w:t xml:space="preserve"> </w:t>
      </w:r>
      <w:r>
        <w:rPr>
          <w:rFonts w:ascii="Times New Roman;sans-serif" w:hAnsi="Times New Roman;sans-serif"/>
          <w:b w:val="false"/>
          <w:color w:val="000000"/>
          <w:sz w:val="24"/>
        </w:rPr>
        <w:t>shall survive the termination of this Agreement.</w:t>
      </w:r>
    </w:p>
    <w:p>
      <w:pPr>
        <w:pStyle w:val="TextBody"/>
        <w:spacing w:lineRule="auto" w:line="240" w:before="0" w:after="240"/>
        <w:jc w:val="center"/>
        <w:rPr/>
      </w:pPr>
      <w:r>
        <w:rPr>
          <w:rFonts w:ascii="Times New Roman;sans-serif" w:hAnsi="Times New Roman;sans-serif"/>
          <w:b/>
          <w:color w:val="000000"/>
          <w:sz w:val="24"/>
        </w:rPr>
        <w:t>ARTICLE 13</w:t>
      </w:r>
      <w:r>
        <w:rPr>
          <w:rFonts w:ascii="Times New Roman;sans-serif" w:hAnsi="Times New Roman;sans-serif"/>
          <w:b/>
          <w:color w:val="000000"/>
          <w:sz w:val="24"/>
        </w:rPr>
        <w:br/>
        <w:br/>
        <w:t>MISCELLANEOUS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1.0a.</w:t>
      </w:r>
      <w:r>
        <w:rPr>
          <w:rFonts w:ascii="Times New Roman;sans-serif" w:hAnsi="Times New Roman;sans-serif"/>
          <w:b w:val="false"/>
          <w:color w:val="000000"/>
          <w:sz w:val="24"/>
        </w:rPr>
        <w:t>Amendments, Etc.</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92100"/>
                <wp:effectExtent l="0" t="0" r="0" b="0"/>
                <wp:wrapNone/>
                <wp:docPr id="153" name="Frame15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No failure on the part of any Credit Party to exercise, and no delay in exercising, any right hereunder shall operate as a waiver thereof; nor shall any single or partial exercise of any right hereunder preclude any other or further exercise thereof or the exercise of any other right. No amendment or waiver of any provision of this Agreement or consent to any departure by any of the Borrower or any Affiliate thereof shall be effective unless in a writing signed by the Administrative Agent and the Majority Group Agents (and, in the case of any amendment, also signed by the Borrower), and then such amendment, waiver or consent shall be effective only in the specific instance and for the specific purpose for which given;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 no amendment, waiver or consent shall, unless in writing and signed by the Servicer, affect the rights or duties of the Servicer under this Agreement; (B) no amendment, waiver or consent shall, unless in writing and signed by the Administrative Agent and each Group Agent:</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i.change (directly or indirectly) the definitions of, Borrowing Base Deficit, Defaulted Receivable, Delinquent Receivable, Eligible Receivable, Facility Limit, Final Maturity Date, Net Receivables Pool Balance, Adjusted Net Receivables Pool Balance or Total Reserves contained in this Agreement, or increase the then existing Concentration Percentage for any Obligor or change the calculation of the Borrowing Base;</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ii.reduce the amount of Capital or Interest or any Fee that is payable on account of any Loan or with respect to any other Credit Extension or delay any scheduled date for payment thereof;</w:t>
      </w:r>
    </w:p>
    <w:p>
      <w:pPr>
        <w:pStyle w:val="TextBody"/>
        <w:spacing w:lineRule="auto" w:line="240" w:before="0" w:after="240"/>
        <w:ind w:left="0" w:right="0" w:firstLine="1180"/>
        <w:jc w:val="both"/>
        <w:rPr>
          <w:rFonts w:ascii="Times New Roman;sans-serif" w:hAnsi="Times New Roman;sans-serif"/>
          <w:b w:val="false"/>
          <w:color w:val="000000"/>
          <w:sz w:val="24"/>
        </w:rPr>
      </w:pPr>
      <w:r>
        <w:rPr>
          <w:rFonts w:ascii="Times New Roman;sans-serif" w:hAnsi="Times New Roman;sans-serif"/>
          <w:b w:val="false"/>
          <w:color w:val="000000"/>
          <w:sz w:val="24"/>
        </w:rPr>
        <w:t>iii.change any Event of Default;</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iv.release all or a material portion of the Collateral from the Administrative Agent’s security interest created hereunder;</w:t>
      </w:r>
    </w:p>
    <w:p>
      <w:pPr>
        <w:pStyle w:val="TextBody"/>
        <w:spacing w:lineRule="auto" w:line="240" w:before="0" w:after="240"/>
        <w:ind w:left="0" w:right="0" w:firstLine="1260"/>
        <w:jc w:val="both"/>
        <w:rPr>
          <w:rFonts w:ascii="Times New Roman;sans-serif" w:hAnsi="Times New Roman;sans-serif"/>
          <w:b w:val="false"/>
          <w:color w:val="000000"/>
          <w:sz w:val="24"/>
        </w:rPr>
      </w:pPr>
      <w:r>
        <w:rPr>
          <w:rFonts w:ascii="Times New Roman;sans-serif" w:hAnsi="Times New Roman;sans-serif"/>
          <w:b w:val="false"/>
          <w:color w:val="000000"/>
          <w:sz w:val="24"/>
        </w:rPr>
        <w:t>v.release the Performance Guarantor from any of its obligations under the Performance Guaranty or terminate the Performance Guaranty;</w:t>
      </w:r>
    </w:p>
    <w:p>
      <w:pPr>
        <w:pStyle w:val="TextBody"/>
        <w:spacing w:lineRule="auto" w:line="240" w:before="0" w:after="240"/>
        <w:ind w:left="0" w:right="0" w:firstLine="1193"/>
        <w:jc w:val="both"/>
        <w:rPr/>
      </w:pPr>
      <w:r>
        <w:rPr>
          <w:rFonts w:ascii="Times New Roman;sans-serif" w:hAnsi="Times New Roman;sans-serif"/>
          <w:b w:val="false"/>
          <w:color w:val="000000"/>
          <w:sz w:val="24"/>
        </w:rPr>
        <w:t xml:space="preserve">vi.change any of the provisions of this </w:t>
      </w:r>
      <w:r>
        <w:rPr>
          <w:rFonts w:ascii="Times New Roman;sans-serif" w:hAnsi="Times New Roman;sans-serif"/>
          <w:b w:val="false"/>
          <w:color w:val="000000"/>
          <w:sz w:val="24"/>
          <w:u w:val="single"/>
        </w:rPr>
        <w:t>Section 13.01</w:t>
      </w:r>
      <w:r>
        <w:rPr>
          <w:color w:val="000000"/>
        </w:rPr>
        <w:t xml:space="preserve"> </w:t>
      </w:r>
      <w:r>
        <w:rPr>
          <w:rFonts w:ascii="Times New Roman;sans-serif" w:hAnsi="Times New Roman;sans-serif"/>
          <w:b w:val="false"/>
          <w:color w:val="000000"/>
          <w:sz w:val="24"/>
        </w:rPr>
        <w:t>or the definition of “Majority Group Agents”; or</w:t>
      </w:r>
    </w:p>
    <w:p>
      <w:pPr>
        <w:pStyle w:val="TextBody"/>
        <w:spacing w:lineRule="auto" w:line="240" w:before="0" w:after="240"/>
        <w:ind w:left="0" w:right="0" w:firstLine="1127"/>
        <w:jc w:val="both"/>
        <w:rPr/>
      </w:pPr>
      <w:r>
        <w:rPr>
          <w:rFonts w:ascii="Times New Roman;sans-serif" w:hAnsi="Times New Roman;sans-serif"/>
          <w:b w:val="false"/>
          <w:color w:val="000000"/>
          <w:sz w:val="24"/>
        </w:rPr>
        <w:t xml:space="preserve">vii.change the order of priority in which Collections are applied pursuant to </w:t>
      </w:r>
      <w:r>
        <w:rPr>
          <w:rFonts w:ascii="Times New Roman;sans-serif" w:hAnsi="Times New Roman;sans-serif"/>
          <w:b w:val="false"/>
          <w:color w:val="000000"/>
          <w:sz w:val="24"/>
          <w:u w:val="single"/>
        </w:rPr>
        <w:t>Section 3.01</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Notwithstanding the foregoing, (i) no amendment, waiver or consent shall increase any Committed Lender’s Commitment hereunder without the consent of such Committed Lender and (ii) no amendment, waiver or consent shall reduce any Fees payable by the Borrower to any member of any Group or delay the dates on which any such Fees are payable, in either case, without the consent of the Group Agent for such Group and (iii) no consent with respect to any amendment, waiver or other modification of this Agreement shall be required of any Defaulting Lender, except with respect to any amendment, waiver or other modification referred to in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through </w:t>
      </w:r>
      <w:r>
        <w:rPr>
          <w:rFonts w:ascii="Times New Roman;sans-serif" w:hAnsi="Times New Roman;sans-serif"/>
          <w:b w:val="false"/>
          <w:color w:val="000000"/>
          <w:sz w:val="24"/>
          <w:u w:val="single"/>
        </w:rPr>
        <w:t>(vii)</w:t>
      </w:r>
      <w:r>
        <w:rPr>
          <w:color w:val="000000"/>
        </w:rPr>
        <w:t xml:space="preserve"> </w:t>
      </w:r>
      <w:r>
        <w:rPr>
          <w:rFonts w:ascii="Times New Roman;sans-serif" w:hAnsi="Times New Roman;sans-serif"/>
          <w:b w:val="false"/>
          <w:color w:val="000000"/>
          <w:sz w:val="24"/>
        </w:rPr>
        <w:t>above and then only in the event such Defaulting Lender shall be directly affected by such amendment, waiver or other modification.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1.0b.</w:t>
      </w:r>
      <w:r>
        <w:rPr>
          <w:rFonts w:ascii="Times New Roman;sans-serif" w:hAnsi="Times New Roman;sans-serif"/>
          <w:b w:val="false"/>
          <w:color w:val="000000"/>
          <w:sz w:val="24"/>
        </w:rPr>
        <w:t xml:space="preserve">Notices, Etc. All notices and other communications hereunder shall, unless otherwise stated herein, be in writing (which shall include facsimile communication) and faxed or delivered, to each party hereto, at its address set forth under its name on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hereto or at such other address as shall be designated by such party in a written notice to the other parties hereto. Notices and communications by facsimile shall be effective when sent (and shall be followed by hard copy sent by regular mail), and notices and communications sent by other means shall be effective when received.</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92100"/>
                <wp:effectExtent l="0" t="0" r="0" b="0"/>
                <wp:wrapNone/>
                <wp:docPr id="154" name="Frame15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1.0c.</w:t>
      </w:r>
      <w:r>
        <w:rPr>
          <w:rFonts w:ascii="Times New Roman;sans-serif" w:hAnsi="Times New Roman;sans-serif"/>
          <w:b w:val="false"/>
          <w:color w:val="000000"/>
          <w:sz w:val="24"/>
        </w:rPr>
        <w:t>Assignability; Addition of Lenders; Removal of Lenders.</w:t>
      </w:r>
    </w:p>
    <w:p>
      <w:pPr>
        <w:pStyle w:val="TextBody"/>
        <w:spacing w:lineRule="auto" w:line="240" w:before="0" w:after="240"/>
        <w:ind w:left="0" w:right="0" w:firstLine="1313"/>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Assignment by Conduit Lenders</w:t>
      </w:r>
      <w:r>
        <w:rPr>
          <w:rFonts w:ascii="Times New Roman;sans-serif" w:hAnsi="Times New Roman;sans-serif"/>
          <w:b w:val="false"/>
          <w:color w:val="000000"/>
          <w:sz w:val="24"/>
        </w:rPr>
        <w:t xml:space="preserve">. This Agreement and the rights of each Conduit Lender hereunder (including each Loan made by it hereunder) shall be assignable by such Conduit Lender and its successors and permitted assigns (i) to any Program Support Provider of such Conduit Lender without prior notice to or consent from the Borrower or any other party, or any other condition or restriction of any kind, (ii) to any other Lender with prior notice to the Borrower but without consent from the Borrower or (iii) with the prior written consent of the Borrower (such consent not to be unreasonably withheld, conditioned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consent shall not be required if an Event of Default or Unmatured Event of Default has occurred and is continuing), to any other Eligible Assignee. Each assignor of a Loan or any interest therein may, in connection with the assignment or participation, disclose to the assignee or Participant any information relating to the Borrower and its Affiliates, including the Receivables, furnished to such assignor by or on behalf of the Borrower and its Affiliates or by the Administrative Agent;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prior to any such disclosure, the assignee or Participant agrees to preserve the confidentiality of any confidential information relating to the Borrower and its Affiliates received by it from any of the foregoing entities in a manner consistent with </w:t>
      </w:r>
      <w:r>
        <w:rPr>
          <w:rFonts w:ascii="Times New Roman;sans-serif" w:hAnsi="Times New Roman;sans-serif"/>
          <w:b w:val="false"/>
          <w:color w:val="000000"/>
          <w:sz w:val="24"/>
          <w:u w:val="single"/>
        </w:rPr>
        <w:t>Section 13.06(b)</w:t>
      </w:r>
      <w:r>
        <w:rPr>
          <w:rFonts w:ascii="Times New Roman;sans-serif" w:hAnsi="Times New Roman;sans-serif"/>
          <w:b w:val="false"/>
          <w:color w:val="000000"/>
          <w:sz w:val="24"/>
        </w:rPr>
        <w:t>.</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Assignment by Committed Lenders</w:t>
      </w:r>
      <w:r>
        <w:rPr>
          <w:rFonts w:ascii="Times New Roman;sans-serif" w:hAnsi="Times New Roman;sans-serif"/>
          <w:b w:val="false"/>
          <w:color w:val="000000"/>
          <w:sz w:val="24"/>
        </w:rPr>
        <w:t xml:space="preserve">. Each Committed Lender may assign to any Eligible Assignee or to any other Committed Lender all or a portion of its rights and obligations under this Agreement (including, without limitation, all or a portion of its Commitment and any Loan or interests therein owned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that</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1.except for an assignment by a Committed Lender to either an Affiliate of such Committed Lender or any other Committed Lender, each such assignment shall require the prior written consent of the Borrower (such consent not to be unreasonably withheld, conditioned or delayed;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consent shall not be required if an Event of Default or an Unmatured Event of Default has occurred and is continuing);</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2.each such assignment shall be of a constant, and not a varying, percentage of all rights and obligations under this Agreement;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3.the amount being assigned pursuant to each such assignment (determined as of the date of the Assignment and Acceptance Agreement with respect to such assignment) shall in no event be less than the lesser of (x) five million dollars ($5,000,000) and (y) all of the assigning Committed Lender’s Commitment;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parties to each such assignment shall execute and deliver to the Administrative Agent, for its acceptance and recording in the Register, an Assignment and Acceptance Agreement.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such execution, delivery, acceptance and recording from and after the effective date specified in such Assignment and Acceptance Agreement, (x) the assignee thereunder shall be a party to this Agreement, and to the extent that rights and obligations under this Agreement have been assigned to it pursuant to such Assignment and Acceptance Agreement, have the rights and obligations of a Committed Lender hereunder and (y) the assigning Committed Lender shall, to the extent that rights and obligations have been assigned by it pursuant to such Assignment and Acceptance Agreement, relinquish such rights and be released from such obligations under this Agreement (and, in the case of an Assignment and Acceptance Agreement covering all or the remaining portion of an assigning Committed Lender’s rights and obligations under this Agreement, such Committed Lender shall cease to be a party hereto).</w:t>
      </w:r>
      <w:r>
        <w:br w:type="page"/>
      </w: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92100"/>
                <wp:effectExtent l="0" t="0" r="0" b="0"/>
                <wp:wrapNone/>
                <wp:docPr id="155" name="Frame15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8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Register</w:t>
      </w:r>
      <w:r>
        <w:rPr>
          <w:rFonts w:ascii="Times New Roman;sans-serif" w:hAnsi="Times New Roman;sans-serif"/>
          <w:b w:val="false"/>
          <w:color w:val="000000"/>
          <w:sz w:val="24"/>
        </w:rPr>
        <w:t xml:space="preserve">. The Administrative Agent shall, acting solely for this purpose as an agent of the Borrower, maintain at its address referred to on </w:t>
      </w:r>
      <w:r>
        <w:rPr>
          <w:rFonts w:ascii="Times New Roman;sans-serif" w:hAnsi="Times New Roman;sans-serif"/>
          <w:b w:val="false"/>
          <w:color w:val="000000"/>
          <w:sz w:val="24"/>
          <w:u w:val="single"/>
        </w:rPr>
        <w:t>Schedule III</w:t>
      </w:r>
      <w:r>
        <w:rPr>
          <w:color w:val="000000"/>
        </w:rPr>
        <w:t xml:space="preserve"> </w:t>
      </w:r>
      <w:r>
        <w:rPr>
          <w:rFonts w:ascii="Times New Roman;sans-serif" w:hAnsi="Times New Roman;sans-serif"/>
          <w:b w:val="false"/>
          <w:color w:val="000000"/>
          <w:sz w:val="24"/>
        </w:rPr>
        <w:t>of this Agreement (or such other address of the Administrative Agent notified by the Administrative Agent to the other parties hereto) a copy of each Assignment and Acceptance Agreement delivered to and accepted by it and a register for the recordation of the names and addresses of the Committed Lenders and the Conduit Lenders, the Commitment of each Committed Lender and the aggregate outstanding Capital (and stated interest) of the Loans of each Conduit Lender and Committed Lender from time to time (the “</w:t>
      </w:r>
      <w:r>
        <w:rPr>
          <w:rFonts w:ascii="Times New Roman;sans-serif" w:hAnsi="Times New Roman;sans-serif"/>
          <w:b w:val="false"/>
          <w:color w:val="000000"/>
          <w:sz w:val="24"/>
          <w:u w:val="single"/>
        </w:rPr>
        <w:t>Register</w:t>
      </w:r>
      <w:r>
        <w:rPr>
          <w:color w:val="000000"/>
        </w:rPr>
        <w:t>”</w:t>
      </w:r>
      <w:r>
        <w:rPr>
          <w:rFonts w:ascii="Times New Roman;sans-serif" w:hAnsi="Times New Roman;sans-serif"/>
          <w:b w:val="false"/>
          <w:color w:val="000000"/>
          <w:sz w:val="24"/>
        </w:rPr>
        <w:t>). The entries in the Register shall be conclusive and binding for all purposes, absent manifest error, and the Borrower, the Servicer, the Administrative Agent, the Group Agents, and the other Credit Parties may treat each Person whose name is recorded in the Register as a Committed Lender or Conduit Lender, as the case may be, under this Agreement for all purposes of this Agreement. The Register shall be available for inspection by the Borrower, the Servicer, any Group Agent, any Conduit Lender or any Committed Lender at any reasonable time and from time to time upon reasonable prior notice.</w:t>
      </w:r>
    </w:p>
    <w:p>
      <w:pPr>
        <w:pStyle w:val="TextBody"/>
        <w:spacing w:lineRule="auto" w:line="240" w:before="0" w:after="240"/>
        <w:ind w:left="0" w:right="0" w:firstLine="1193"/>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Procedure</w:t>
      </w:r>
      <w:r>
        <w:rPr>
          <w:rFonts w:ascii="Times New Roman;sans-serif" w:hAnsi="Times New Roman;sans-serif"/>
          <w:b w:val="false"/>
          <w:color w:val="000000"/>
          <w:sz w:val="24"/>
        </w:rPr>
        <w:t>. Upon its receipt of an Assignment and Acceptance Agreement executed and delivered by an assigning Committed Lender and an Eligible Assignee or assignee Committed Lender, the Administrative Agent shall, if such Assignment and Acceptance Agreement has been duly completed, (i) accept such Assignment and Acceptance Agreement, (ii) record the information contained therein in the Register and (iii) give prompt notice thereof to the Borrower and the Servicer.</w:t>
      </w:r>
    </w:p>
    <w:p>
      <w:pPr>
        <w:pStyle w:val="TextBody"/>
        <w:spacing w:lineRule="auto" w:line="240" w:before="0" w:after="240"/>
        <w:ind w:left="0" w:right="0" w:firstLine="126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Participations</w:t>
      </w:r>
      <w:r>
        <w:rPr>
          <w:rFonts w:ascii="Times New Roman;sans-serif" w:hAnsi="Times New Roman;sans-serif"/>
          <w:b w:val="false"/>
          <w:color w:val="000000"/>
          <w:sz w:val="24"/>
        </w:rPr>
        <w:t>. Each Committed Lender may sell participations to one or more Eligible Assignees (each, a “</w:t>
      </w:r>
      <w:r>
        <w:rPr>
          <w:rFonts w:ascii="Times New Roman;sans-serif" w:hAnsi="Times New Roman;sans-serif"/>
          <w:b w:val="false"/>
          <w:color w:val="000000"/>
          <w:sz w:val="24"/>
          <w:u w:val="single"/>
        </w:rPr>
        <w:t>Participant</w:t>
      </w:r>
      <w:r>
        <w:rPr>
          <w:color w:val="000000"/>
        </w:rPr>
        <w:t>”</w:t>
      </w:r>
      <w:r>
        <w:rPr>
          <w:rFonts w:ascii="Times New Roman;sans-serif" w:hAnsi="Times New Roman;sans-serif"/>
          <w:b w:val="false"/>
          <w:color w:val="000000"/>
          <w:sz w:val="24"/>
        </w:rPr>
        <w:t xml:space="preserve">) in or to all or a portion of its rights and/or obligations under this Agreement (including, without limitation, all or a portion of its Commitment and the interests in the Loans owned by it);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1.such Committed Lender’s obligations under this Agreement (including, without limitation, its Commitment to the Borrower hereunder) shall remain unchanged,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2.such Committed Lender shall remain solely responsible to the other parties to this Agreement for the performance of such obligations.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the Group Agents, the Conduit Lenders, the other Committed Lenders, the Borrower and the Servicer shall have the right to continue to deal solely and directly with such Committed Lender in connection with such Committed Lender’s rights and obligations under this Agreement.</w:t>
      </w:r>
    </w:p>
    <w:p>
      <w:pPr>
        <w:pStyle w:val="TextBody"/>
        <w:spacing w:lineRule="auto" w:line="240" w:before="0" w:after="240"/>
        <w:ind w:left="0" w:right="0" w:firstLine="1193"/>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Participant Register. Each Committed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“Participant Register”); provided that no Committed Lender shall have any obligation to disclose all or any portion of the Participant Register (including the identity of any Participant or any information relating to a Participant’s interest in any Commitments, Loans or its other obligations under any this Agreement)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Committed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r>
        <w:br w:type="page"/>
      </w: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92100"/>
                <wp:effectExtent l="0" t="0" r="0" b="0"/>
                <wp:wrapNone/>
                <wp:docPr id="156" name="Frame15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27"/>
        <w:jc w:val="both"/>
        <w:rPr/>
      </w:pPr>
      <w:r>
        <w:rPr>
          <w:rFonts w:ascii="Times New Roman;sans-serif" w:hAnsi="Times New Roman;sans-serif"/>
          <w:b w:val="false"/>
          <w:color w:val="000000"/>
          <w:sz w:val="24"/>
        </w:rPr>
        <w:t>vii.</w:t>
      </w:r>
      <w:r>
        <w:rPr>
          <w:rFonts w:ascii="Times New Roman;sans-serif" w:hAnsi="Times New Roman;sans-serif"/>
          <w:b w:val="false"/>
          <w:color w:val="000000"/>
          <w:sz w:val="24"/>
          <w:u w:val="single"/>
        </w:rPr>
        <w:t>Assignments by Agents</w:t>
      </w:r>
      <w:r>
        <w:rPr>
          <w:rFonts w:ascii="Times New Roman;sans-serif" w:hAnsi="Times New Roman;sans-serif"/>
          <w:b w:val="false"/>
          <w:color w:val="000000"/>
          <w:sz w:val="24"/>
        </w:rPr>
        <w:t xml:space="preserve">. This Agreement and the rights and obligations of the Administrative Agent and each Group Agent herein shall be assignable by the Administrative Agent or such Group Agent, as the case may be, and its successors and assigns;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an assignment to a Person that is not an Affiliate of the Administrative Agent or such Group Agent, so long as no Event of Default or Unmatured Event of Default has occurred and is continuing, such assignment shall require the Borrower’s consent (not to be unreasonably withheld, conditioned or delayed).</w:t>
      </w:r>
    </w:p>
    <w:p>
      <w:pPr>
        <w:pStyle w:val="TextBody"/>
        <w:spacing w:lineRule="auto" w:line="240" w:before="0" w:after="240"/>
        <w:ind w:left="0" w:right="0" w:firstLine="1060"/>
        <w:jc w:val="both"/>
        <w:rPr/>
      </w:pPr>
      <w:r>
        <w:rPr>
          <w:rFonts w:ascii="Times New Roman;sans-serif" w:hAnsi="Times New Roman;sans-serif"/>
          <w:b w:val="false"/>
          <w:color w:val="000000"/>
          <w:sz w:val="24"/>
        </w:rPr>
        <w:t>viii.</w:t>
      </w:r>
      <w:r>
        <w:rPr>
          <w:rFonts w:ascii="Times New Roman;sans-serif" w:hAnsi="Times New Roman;sans-serif"/>
          <w:b w:val="false"/>
          <w:color w:val="000000"/>
          <w:sz w:val="24"/>
          <w:u w:val="single"/>
        </w:rPr>
        <w:t>Assignments by the Borrower or the Servicer</w:t>
      </w:r>
      <w:r>
        <w:rPr>
          <w:rFonts w:ascii="Times New Roman;sans-serif" w:hAnsi="Times New Roman;sans-serif"/>
          <w:b w:val="false"/>
          <w:color w:val="000000"/>
          <w:sz w:val="24"/>
        </w:rPr>
        <w:t xml:space="preserve">. Neither the Borrower nor, except as provided in </w:t>
      </w:r>
      <w:r>
        <w:rPr>
          <w:rFonts w:ascii="Times New Roman;sans-serif" w:hAnsi="Times New Roman;sans-serif"/>
          <w:b w:val="false"/>
          <w:color w:val="000000"/>
          <w:sz w:val="24"/>
          <w:u w:val="single"/>
        </w:rPr>
        <w:t>Section 8.01</w:t>
      </w:r>
      <w:r>
        <w:rPr>
          <w:rFonts w:ascii="Times New Roman;sans-serif" w:hAnsi="Times New Roman;sans-serif"/>
          <w:b w:val="false"/>
          <w:color w:val="000000"/>
          <w:sz w:val="24"/>
        </w:rPr>
        <w:t>, the Servicer may assign any of its respective rights or obligations hereunder or any interest herein without the prior written consent of the Administrative Agent and each Group Agent (such consent to be provided or withheld in the sole discretion of such Person).</w:t>
      </w:r>
    </w:p>
    <w:p>
      <w:pPr>
        <w:pStyle w:val="TextBody"/>
        <w:spacing w:lineRule="auto" w:line="240" w:before="0" w:after="240"/>
        <w:ind w:left="0" w:right="0" w:firstLine="1193"/>
        <w:jc w:val="both"/>
        <w:rPr/>
      </w:pPr>
      <w:r>
        <w:rPr>
          <w:rFonts w:ascii="Times New Roman;sans-serif" w:hAnsi="Times New Roman;sans-serif"/>
          <w:b w:val="false"/>
          <w:color w:val="000000"/>
          <w:sz w:val="24"/>
        </w:rPr>
        <w:t>ix.</w:t>
      </w:r>
      <w:r>
        <w:rPr>
          <w:rFonts w:ascii="Times New Roman;sans-serif" w:hAnsi="Times New Roman;sans-serif"/>
          <w:b w:val="false"/>
          <w:color w:val="000000"/>
          <w:sz w:val="24"/>
          <w:u w:val="single"/>
        </w:rPr>
        <w:t>Addition of Lenders or Groups</w:t>
      </w:r>
      <w:r>
        <w:rPr>
          <w:rFonts w:ascii="Times New Roman;sans-serif" w:hAnsi="Times New Roman;sans-serif"/>
          <w:b w:val="false"/>
          <w:color w:val="000000"/>
          <w:sz w:val="24"/>
        </w:rPr>
        <w:t xml:space="preserve">. The Borrower may, with written consent of the Administrative Agent and the Majority Group Agents, add additional Persons as Lenders (by creating a new Group) or cause an existing Lender to increase its Commitment;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Commitment of any existing Lender may only be increased with the prior written consent of such Lender. Each new Lender (or Group) shall become a party hereto, by executing and delivering to the Administrative Agent and the Borrower, an assumption agreement (each, an “</w:t>
      </w:r>
      <w:r>
        <w:rPr>
          <w:rFonts w:ascii="Times New Roman;sans-serif" w:hAnsi="Times New Roman;sans-serif"/>
          <w:b w:val="false"/>
          <w:color w:val="000000"/>
          <w:sz w:val="24"/>
          <w:u w:val="single"/>
        </w:rPr>
        <w:t>Assumption Agreement</w:t>
      </w:r>
      <w:r>
        <w:rPr>
          <w:color w:val="000000"/>
        </w:rPr>
        <w:t>”</w:t>
      </w:r>
      <w:r>
        <w:rPr>
          <w:rFonts w:ascii="Times New Roman;sans-serif" w:hAnsi="Times New Roman;sans-serif"/>
          <w:b w:val="false"/>
          <w:color w:val="000000"/>
          <w:sz w:val="24"/>
        </w:rPr>
        <w:t xml:space="preserve">) in the form of </w:t>
      </w:r>
      <w:r>
        <w:rPr>
          <w:rFonts w:ascii="Times New Roman;sans-serif" w:hAnsi="Times New Roman;sans-serif"/>
          <w:b w:val="false"/>
          <w:color w:val="000000"/>
          <w:sz w:val="24"/>
          <w:u w:val="single"/>
        </w:rPr>
        <w:t>Exhibit D</w:t>
      </w:r>
      <w:r>
        <w:rPr>
          <w:color w:val="000000"/>
        </w:rPr>
        <w:t xml:space="preserve"> </w:t>
      </w:r>
      <w:r>
        <w:rPr>
          <w:rFonts w:ascii="Times New Roman;sans-serif" w:hAnsi="Times New Roman;sans-serif"/>
          <w:b w:val="false"/>
          <w:color w:val="000000"/>
          <w:sz w:val="24"/>
        </w:rPr>
        <w:t>hereto (which Assumption Agreement shall, in the case of any new Lender, be executed by each Person in such new Lender’s Group).</w:t>
      </w:r>
    </w:p>
    <w:p>
      <w:pPr>
        <w:pStyle w:val="TextBody"/>
        <w:spacing w:lineRule="auto" w:line="240" w:before="0" w:after="240"/>
        <w:ind w:left="0" w:right="0" w:firstLine="1260"/>
        <w:jc w:val="both"/>
        <w:rPr/>
      </w:pPr>
      <w:r>
        <w:rPr>
          <w:rFonts w:ascii="Times New Roman;sans-serif" w:hAnsi="Times New Roman;sans-serif"/>
          <w:b w:val="false"/>
          <w:color w:val="000000"/>
          <w:sz w:val="24"/>
        </w:rPr>
        <w:t>x.</w:t>
      </w:r>
      <w:r>
        <w:rPr>
          <w:rFonts w:ascii="Times New Roman;sans-serif" w:hAnsi="Times New Roman;sans-serif"/>
          <w:b w:val="false"/>
          <w:color w:val="000000"/>
          <w:sz w:val="24"/>
          <w:u w:val="single"/>
        </w:rPr>
        <w:t>Removal of Lenders</w:t>
      </w:r>
      <w:r>
        <w:rPr>
          <w:rFonts w:ascii="Times New Roman;sans-serif" w:hAnsi="Times New Roman;sans-serif"/>
          <w:b w:val="false"/>
          <w:color w:val="000000"/>
          <w:sz w:val="24"/>
        </w:rPr>
        <w:t xml:space="preserve">. If (i) any Lender requests compensation under </w:t>
      </w:r>
      <w:r>
        <w:rPr>
          <w:rFonts w:ascii="Times New Roman;sans-serif" w:hAnsi="Times New Roman;sans-serif"/>
          <w:b w:val="false"/>
          <w:color w:val="000000"/>
          <w:sz w:val="24"/>
          <w:u w:val="single"/>
        </w:rPr>
        <w:t>Section 4.01</w:t>
      </w:r>
      <w:r>
        <w:rPr>
          <w:rFonts w:ascii="Times New Roman;sans-serif" w:hAnsi="Times New Roman;sans-serif"/>
          <w:b w:val="false"/>
          <w:color w:val="000000"/>
          <w:sz w:val="24"/>
        </w:rPr>
        <w:t xml:space="preserve">, or if the Borrower is required to pay any additional amount to any Lender or any Governmental Authority for the account of any Lender pursuant to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xml:space="preserve">, (iv) any Lender is a Defaulting Lender, or (v)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this </w:t>
      </w:r>
      <w:r>
        <w:rPr>
          <w:rFonts w:ascii="Times New Roman;sans-serif" w:hAnsi="Times New Roman;sans-serif"/>
          <w:b w:val="false"/>
          <w:color w:val="000000"/>
          <w:sz w:val="24"/>
          <w:u w:val="single"/>
        </w:rPr>
        <w:t>Section 13.03</w:t>
      </w:r>
      <w:r>
        <w:rPr>
          <w:rFonts w:ascii="Times New Roman;sans-serif" w:hAnsi="Times New Roman;sans-serif"/>
          <w:b w:val="false"/>
          <w:color w:val="000000"/>
          <w:sz w:val="24"/>
        </w:rPr>
        <w:t xml:space="preserve">), all of its interests, rights (other than its existing rights to payments pursuant to </w:t>
      </w:r>
      <w:r>
        <w:rPr>
          <w:rFonts w:ascii="Times New Roman;sans-serif" w:hAnsi="Times New Roman;sans-serif"/>
          <w:b w:val="false"/>
          <w:color w:val="000000"/>
          <w:sz w:val="24"/>
          <w:u w:val="single"/>
        </w:rPr>
        <w:t>Sections 4.01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4.03</w:t>
      </w:r>
      <w:r>
        <w:rPr>
          <w:rFonts w:ascii="Times New Roman;sans-serif" w:hAnsi="Times New Roman;sans-serif"/>
          <w:b w:val="false"/>
          <w:color w:val="000000"/>
          <w:sz w:val="24"/>
        </w:rPr>
        <w:t xml:space="preserve">) and obligations under this Agreement and the related Transaction Documents to an assignee that shall assume such obligations (which assignee may be another Lender, if a Lender accepts such assignment),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1.such Lender shall have received payment of an amount equal to 100% of the outstanding Capital, accrued interest thereon, accrued fees and all other amounts payable to it hereunder and under the other Transaction Documents from the assignee (to the extent of such outstanding Capital and accrued interest and fees);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2.in the case of any such assignment resulting from a claim for compensation under </w:t>
      </w:r>
      <w:r>
        <w:rPr>
          <w:rFonts w:ascii="Times New Roman;sans-serif" w:hAnsi="Times New Roman;sans-serif"/>
          <w:b w:val="false"/>
          <w:color w:val="000000"/>
          <w:sz w:val="24"/>
          <w:u w:val="single"/>
        </w:rPr>
        <w:t>Section 4.01</w:t>
      </w:r>
      <w:r>
        <w:rPr>
          <w:color w:val="000000"/>
        </w:rPr>
        <w:t xml:space="preserve"> </w:t>
      </w:r>
      <w:r>
        <w:rPr>
          <w:rFonts w:ascii="Times New Roman;sans-serif" w:hAnsi="Times New Roman;sans-serif"/>
          <w:b w:val="false"/>
          <w:color w:val="000000"/>
          <w:sz w:val="24"/>
        </w:rPr>
        <w:t xml:space="preserve">or payments required to be made pursuant to </w:t>
      </w:r>
      <w:r>
        <w:rPr>
          <w:rFonts w:ascii="Times New Roman;sans-serif" w:hAnsi="Times New Roman;sans-serif"/>
          <w:b w:val="false"/>
          <w:color w:val="000000"/>
          <w:sz w:val="24"/>
          <w:u w:val="single"/>
        </w:rPr>
        <w:t>Section 4.03</w:t>
      </w:r>
      <w:r>
        <w:rPr>
          <w:rFonts w:ascii="Times New Roman;sans-serif" w:hAnsi="Times New Roman;sans-serif"/>
          <w:b w:val="false"/>
          <w:color w:val="000000"/>
          <w:sz w:val="24"/>
        </w:rPr>
        <w:t>, such assignment will result in a reduction in such compensation or payments thereafter;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3.such assignment does not conflict with Applicable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spacing w:lineRule="auto" w:line="240" w:before="0" w:after="240"/>
        <w:ind w:left="0" w:right="0" w:firstLine="1193"/>
        <w:jc w:val="both"/>
        <w:rPr/>
      </w:pPr>
      <w:r>
        <w:rPr>
          <w:rFonts w:ascii="Times New Roman;sans-serif" w:hAnsi="Times New Roman;sans-serif"/>
          <w:b w:val="false"/>
          <w:color w:val="000000"/>
          <w:sz w:val="24"/>
        </w:rPr>
        <w:t>xi.</w:t>
      </w:r>
      <w:r>
        <w:rPr>
          <w:rFonts w:ascii="Times New Roman;sans-serif" w:hAnsi="Times New Roman;sans-serif"/>
          <w:b w:val="false"/>
          <w:color w:val="000000"/>
          <w:sz w:val="24"/>
          <w:u w:val="single"/>
        </w:rPr>
        <w:t>Pledge to a Federal Reserve Bank</w:t>
      </w:r>
      <w:r>
        <w:rPr>
          <w:rFonts w:ascii="Times New Roman;sans-serif" w:hAnsi="Times New Roman;sans-serif"/>
          <w:b w:val="false"/>
          <w:color w:val="000000"/>
          <w:sz w:val="24"/>
        </w:rPr>
        <w:t xml:space="preserve">. Notwithstanding anything to the contrary set forth herein, (i) any Lender, Program Support Provider or any of their respective Affiliates may </w:t>
      </w:r>
      <w:r>
        <w:br w:type="page"/>
      </w: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92100"/>
                <wp:effectExtent l="0" t="0" r="0" b="0"/>
                <wp:wrapNone/>
                <wp:docPr id="157" name="Frame15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at any time pledge or grant a security interest in all or any portion of its interest in, to and under this Agreement (including, without limitation, rights to payment of Capital and Interest) and any other Transaction Document to secure its obligations to a Federal Reserve Bank, without notice to or the consent of the Borrower, the Servicer, any Affiliate thereof or any Credit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that no such pledge shall relieve such assignor of its obligations under this Agreement.</w:t>
      </w:r>
    </w:p>
    <w:p>
      <w:pPr>
        <w:pStyle w:val="TextBody"/>
        <w:spacing w:lineRule="auto" w:line="240" w:before="0" w:after="240"/>
        <w:ind w:left="0" w:right="0" w:firstLine="1127"/>
        <w:jc w:val="both"/>
        <w:rPr/>
      </w:pPr>
      <w:r>
        <w:rPr>
          <w:rFonts w:ascii="Times New Roman;sans-serif" w:hAnsi="Times New Roman;sans-serif"/>
          <w:b w:val="false"/>
          <w:color w:val="000000"/>
          <w:sz w:val="24"/>
        </w:rPr>
        <w:t>xii.</w:t>
      </w:r>
      <w:r>
        <w:rPr>
          <w:rFonts w:ascii="Times New Roman;sans-serif" w:hAnsi="Times New Roman;sans-serif"/>
          <w:b w:val="false"/>
          <w:color w:val="000000"/>
          <w:sz w:val="24"/>
          <w:u w:val="single"/>
        </w:rPr>
        <w:t>Pledge to a Security Trustee</w:t>
      </w:r>
      <w:r>
        <w:rPr>
          <w:rFonts w:ascii="Times New Roman;sans-serif" w:hAnsi="Times New Roman;sans-serif"/>
          <w:b w:val="false"/>
          <w:color w:val="000000"/>
          <w:sz w:val="24"/>
        </w:rPr>
        <w:t xml:space="preserve">. Notwithstanding anything to the contrary set forth herein, (i) any Lender, Program Support Provider or any of their respective Affiliates may at any time pledge or grant a security interest in all or any portion of its interest in, to and under this Agreement (including, without limitation, rights to payment of Capital and Interest) and any other Transaction Document to a security trustee in connection with the funding by such Person of Loans, without notice to or the consent of the Borrower, the Servicer, any Affiliate thereof or any Credit Party;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that no such pledge shall relieve such assignor of its obligations under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1.0d.</w:t>
      </w:r>
      <w:r>
        <w:rPr>
          <w:rFonts w:ascii="Times New Roman;sans-serif" w:hAnsi="Times New Roman;sans-serif"/>
          <w:b w:val="false"/>
          <w:color w:val="000000"/>
          <w:sz w:val="24"/>
        </w:rPr>
        <w:t xml:space="preserve">Costs and Expenses. In addition to the rights of indemnification granted under </w:t>
      </w:r>
      <w:r>
        <w:rPr>
          <w:rFonts w:ascii="Times New Roman;sans-serif" w:hAnsi="Times New Roman;sans-serif"/>
          <w:b w:val="false"/>
          <w:color w:val="000000"/>
          <w:sz w:val="24"/>
          <w:u w:val="single"/>
        </w:rPr>
        <w:t>Section 12.01</w:t>
      </w:r>
      <w:r>
        <w:rPr>
          <w:color w:val="000000"/>
        </w:rPr>
        <w:t xml:space="preserve"> </w:t>
      </w:r>
      <w:r>
        <w:rPr>
          <w:rFonts w:ascii="Times New Roman;sans-serif" w:hAnsi="Times New Roman;sans-serif"/>
          <w:b w:val="false"/>
          <w:color w:val="000000"/>
          <w:sz w:val="24"/>
        </w:rPr>
        <w:t>hereof, the Borrower agrees to pay on demand all reasonable and documented out-of-pocket costs and expenses in connection with the preparation, negotiation, execution, delivery and administration of this Agreement, any Program Support Agreement (or any supplement or amendment thereof) related to this Agreement and the other Transaction Documents (together with all amendments, restatements, supplements, consents and waivers, if any, from time to time hereto and thereto), including, without limitation, (i) the reasonable Attorney Costs for the Administrative Agent, the Structuring Agent and the other Credit Parties and any of their respective Affiliates with respect thereto and with respect to advising the Administrative Agent, the Structuring Agent and the other Credit Parties and their respective Affiliates as to their rights and remedies under this Agreement and the other Transaction Documents and (ii) reasonable accountants’, auditors’ and consultants’ fees and expenses for the Administrative Agent, the Structuring Agent and the other Credit Parties and any of their respective Affiliates and the fees and charges of any nationally recognized statistical rating agency incurred in connection with the administration and maintenance of this Agreement or advising the Administrative Agent or any other Credit Party as to their rights and remedies under this Agreement or as to any actual or reasonably claimed breach of this Agreement or any other Transaction Document. In addition, the Borrower agrees to pay on demand all reasonable out-of-pocket costs and expenses (including reasonable Attorney Costs), of the Administrative Agent, the Structuring Agent and the other Credit Parties and their respective Affiliates, incurred in connection with the enforcement of any of their respective rights or remedies under the provisions of this Agreement and the other Transaction Documents.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1.0e.</w:t>
      </w:r>
      <w:r>
        <w:rPr>
          <w:rFonts w:ascii="Times New Roman;sans-serif" w:hAnsi="Times New Roman;sans-serif"/>
          <w:b w:val="false"/>
          <w:color w:val="000000"/>
          <w:sz w:val="24"/>
        </w:rPr>
        <w:t>No Proceedings; Limitation on Payments.</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i.Each of the Borrower, the Administrative Agent, the Servicer, each Group Agent, each Lender and each assignee of a Loan or any interest agrees that it will not institute against, or join any other Person in instituting against, any Conduit Lender any Insolvency Proceeding so long as any Notes or other senior indebtedness issued by such Conduit Lender shall be outstanding or there shall not have elapsed one year plus one day since the last day on which any such Notes or other senior indebtedness shall have been outstanding.</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ii.Each of the Servicer, each Group Agent, each Lender and each assignee of a Loan or any interest therein, hereby covenants and agrees that it will not institute against, or join any other Person in instituting against, the Borrower any Insolvency Proceeding until one year and one day after the Final Payout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Administrative Agent may take any such action in its sole discretion following the occurrence of an Event of Default.</w:t>
      </w:r>
      <w:r>
        <w:br w:type="page"/>
      </w:r>
    </w:p>
    <w:p>
      <w:pPr>
        <w:pStyle w:val="TextBody"/>
        <w:spacing w:before="0" w:after="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92100"/>
                <wp:effectExtent l="0" t="0" r="0" b="0"/>
                <wp:wrapNone/>
                <wp:docPr id="158" name="Frame15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180"/>
        <w:jc w:val="both"/>
        <w:rPr/>
      </w:pPr>
      <w:r>
        <w:rPr>
          <w:rFonts w:ascii="Times New Roman;sans-serif" w:hAnsi="Times New Roman;sans-serif"/>
          <w:b w:val="false"/>
          <w:color w:val="000000"/>
          <w:sz w:val="24"/>
        </w:rPr>
        <w:t xml:space="preserve">iii.Notwithstanding any provisions contained in this Agreement to the contrary, a Conduit Lender shall not, and shall be under no obligation to, pay any amount, if any, payable by it pursuant to this Agreement or any other Transaction Document unless (i) such Conduit Lender has received funds which may be used to make such payment and which funds are not required to repay such Conduit Lender’s Notes when due and (ii) after giving effect to such payment, either (x) such Conduit Lender could issue Notes to refinance all of its outstanding Notes (assuming such outstanding Notes matured at such time) in accordance with the program documents governing such Conduit Lender’s securitization program or (y) all of such Conduit Lender’s Notes are paid in full. Any amount which any Conduit Lender does not pay pursuant to the operation of the preceding sentence shall not constitute a claim (as defined in Section 101 of the Bankruptcy Code) against or company obligation of such Conduit Lender for any such insufficiency unless and until such Conduit Lender satisfies the provisions of </w:t>
      </w:r>
      <w:r>
        <w:rPr>
          <w:rFonts w:ascii="Times New Roman;sans-serif" w:hAnsi="Times New Roman;sans-serif"/>
          <w:b w:val="false"/>
          <w:color w:val="000000"/>
          <w:sz w:val="24"/>
          <w:u w:val="single"/>
        </w:rPr>
        <w:t>clauses (i)</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(ii)</w:t>
      </w:r>
      <w:r>
        <w:rPr>
          <w:color w:val="000000"/>
        </w:rPr>
        <w:t xml:space="preserve"> </w:t>
      </w:r>
      <w:r>
        <w:rPr>
          <w:rFonts w:ascii="Times New Roman;sans-serif" w:hAnsi="Times New Roman;sans-serif"/>
          <w:b w:val="false"/>
          <w:color w:val="000000"/>
          <w:sz w:val="24"/>
        </w:rPr>
        <w:t xml:space="preserve">above. The provisions of this </w:t>
      </w:r>
      <w:r>
        <w:rPr>
          <w:rFonts w:ascii="Times New Roman;sans-serif" w:hAnsi="Times New Roman;sans-serif"/>
          <w:b w:val="false"/>
          <w:color w:val="000000"/>
          <w:sz w:val="24"/>
          <w:u w:val="single"/>
        </w:rPr>
        <w:t>Section 13.05</w:t>
      </w:r>
      <w:r>
        <w:rPr>
          <w:color w:val="000000"/>
        </w:rPr>
        <w:t xml:space="preserve"> </w:t>
      </w:r>
      <w:r>
        <w:rPr>
          <w:rFonts w:ascii="Times New Roman;sans-serif" w:hAnsi="Times New Roman;sans-serif"/>
          <w:b w:val="false"/>
          <w:color w:val="000000"/>
          <w:sz w:val="24"/>
        </w:rPr>
        <w:t>shall survive any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1.0f.</w:t>
      </w:r>
      <w:r>
        <w:rPr>
          <w:rFonts w:ascii="Times New Roman;sans-serif" w:hAnsi="Times New Roman;sans-serif"/>
          <w:b w:val="false"/>
          <w:color w:val="000000"/>
          <w:sz w:val="24"/>
        </w:rPr>
        <w:t>Confidentiality.</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i.Each of the Borrower and the Servicer covenants and agrees to hold in confidence, and not disclose to any Person, the terms of this Agreement or any Fee Letter (including any fees payable in connection with this Agreement, such Fee Letter or any other Transaction Document or the identity of the Administrative Agent or any other Credit Party), except as the Administrative Agent and each Group Agent may have consented to in writing prior to any proposed disclosure;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it may disclose such information (i) to its Advisors and Representatives, (ii) to the extent such information has become available to the public other than as a result of a disclosure by or through the Borrower, the Servicer or their Advisors and Representatives or (iii) to the extent it should be (A) required by Applicable Law, or in connection with any legal or regulatory proceeding or (B) requested by any Governmental Authority to disclose such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the case of </w:t>
      </w:r>
      <w:r>
        <w:rPr>
          <w:rFonts w:ascii="Times New Roman;sans-serif" w:hAnsi="Times New Roman;sans-serif"/>
          <w:b w:val="false"/>
          <w:color w:val="000000"/>
          <w:sz w:val="24"/>
          <w:u w:val="single"/>
        </w:rPr>
        <w:t>clause (iii)</w:t>
      </w:r>
      <w:r>
        <w:rPr>
          <w:color w:val="000000"/>
        </w:rPr>
        <w:t xml:space="preserve"> </w:t>
      </w:r>
      <w:r>
        <w:rPr>
          <w:rFonts w:ascii="Times New Roman;sans-serif" w:hAnsi="Times New Roman;sans-serif"/>
          <w:b w:val="false"/>
          <w:color w:val="000000"/>
          <w:sz w:val="24"/>
        </w:rPr>
        <w:t xml:space="preserve">above, the Borrower and the Servicer will use reasonable efforts to maintain confidentiality and will (unless otherwise prohibited by Applicable Law) notify the Administrative Agent and the affected Credit Party of its intention to make any such disclosure prior to making such disclosure. Each of the Borrower and the Servicer agrees to be responsible for any breach of this </w:t>
      </w:r>
      <w:r>
        <w:rPr>
          <w:rFonts w:ascii="Times New Roman;sans-serif" w:hAnsi="Times New Roman;sans-serif"/>
          <w:b w:val="false"/>
          <w:color w:val="000000"/>
          <w:sz w:val="24"/>
          <w:u w:val="single"/>
        </w:rPr>
        <w:t>Section 13.06</w:t>
      </w:r>
      <w:r>
        <w:rPr>
          <w:color w:val="000000"/>
        </w:rPr>
        <w:t xml:space="preserve"> </w:t>
      </w:r>
      <w:r>
        <w:rPr>
          <w:rFonts w:ascii="Times New Roman;sans-serif" w:hAnsi="Times New Roman;sans-serif"/>
          <w:b w:val="false"/>
          <w:color w:val="000000"/>
          <w:sz w:val="24"/>
        </w:rPr>
        <w:t xml:space="preserve">by its Representatives and Advisors and agrees that its Representatives and Advisors will be advised by it of the confidential nature of such information and shall agree to comply with this Section. Notwithstanding the foregoing, it is expressly agreed that each of the Borrower, the Servicer and their respective Affiliates may publish a press release or otherwise publicly announce the existence and principal amount of the Commitments under this Agreement and the transactions contemplated hereby;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Administrative Agent shall be provided a reasonable opportunity to review such press release or other public announcement prior to its release and provide comment thereon; 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 such press release shall name or otherwise identify the Administrative Agent, any other Credit Party or any of their respective Affiliates without such Person’s prior written consent (such consent not to be unreasonably withheld, conditioned or delayed). Notwithstanding the foregoing, the Borrower consents to the publication by the Administrative Agent or any other Credit Party of a tombstone or similar advertising material relating to the financing transactions contemplated by this Agreement.</w:t>
      </w:r>
    </w:p>
    <w:p>
      <w:pPr>
        <w:pStyle w:val="TextBody"/>
        <w:spacing w:lineRule="auto" w:line="240" w:before="0" w:after="240"/>
        <w:ind w:left="0" w:right="0" w:firstLine="1247"/>
        <w:jc w:val="both"/>
        <w:rPr/>
      </w:pPr>
      <w:r>
        <w:rPr>
          <w:rFonts w:ascii="Times New Roman;sans-serif" w:hAnsi="Times New Roman;sans-serif"/>
          <w:b w:val="false"/>
          <w:color w:val="000000"/>
          <w:sz w:val="24"/>
        </w:rPr>
        <w:t xml:space="preserve">ii.Each of the Administrative Agent and each other Credit Party, severally and with respect to itself only, agrees to hold in confidence, and not disclose to any Person, any confidential and proprietary information concerning the Borrower, the Servicer and their respective Affiliates and their businesses or the terms of this Agreement (including any fees payable in connection with this Agreement or the other Transaction Documents), except as the Borrower or the Servicer may have consented to in writing prior to any proposed disclosure;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it may disclose such information (i) to its Advisors and Representatives and to any related Program Support Provider, (ii) to its assignees and Participants and potential assignees and Participants and their respective counsel if they agree in writing to hold it </w:t>
      </w:r>
      <w:r>
        <w:br w:type="page"/>
      </w:r>
    </w:p>
    <w:p>
      <w:pPr>
        <w:pStyle w:val="TextBody"/>
        <w:spacing w:before="0" w:after="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92100"/>
                <wp:effectExtent l="0" t="0" r="0" b="0"/>
                <wp:wrapNone/>
                <wp:docPr id="159" name="Frame15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confidential, (iii) to the extent such information has become available to the public other than as a result of a disclosure by or through it or its Representatives or Advisors or any related Program Support Provider, (iv) to any nationally recognized statistical rating organization in connection with obtaining or maintaining the rating of any Conduit Lender’s Notes or as contemplated by 17 CFR 240.17g-5(a)(3), (v) at the request of a bank examiner or other regulatory authority or in connection with an examination of any of the Administrative Agent, any Group Agent or any Lender or their respective Affiliates or Program Support Providers or (vi) to the extent it should be (A) required by Applicable Law, or in connection with any legal or regulatory proceeding or (B) requested by any Governmental Authority to disclose such information;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in the case of </w:t>
      </w:r>
      <w:r>
        <w:rPr>
          <w:rFonts w:ascii="Times New Roman;sans-serif" w:hAnsi="Times New Roman;sans-serif"/>
          <w:b w:val="false"/>
          <w:color w:val="000000"/>
          <w:sz w:val="24"/>
          <w:u w:val="single"/>
        </w:rPr>
        <w:t>clause (vi)</w:t>
      </w:r>
      <w:r>
        <w:rPr>
          <w:color w:val="000000"/>
        </w:rPr>
        <w:t xml:space="preserve"> </w:t>
      </w:r>
      <w:r>
        <w:rPr>
          <w:rFonts w:ascii="Times New Roman;sans-serif" w:hAnsi="Times New Roman;sans-serif"/>
          <w:b w:val="false"/>
          <w:color w:val="000000"/>
          <w:sz w:val="24"/>
        </w:rPr>
        <w:t xml:space="preserve">above, the Administrative Agent, each Group Agent and each Lender will use reasonable efforts to maintain confidentiality and will (unless otherwise prohibited by Applicable Law) notify the Borrower and the Servicer of its making any such disclosure as promptly as reasonably practicable thereafter. Each of the Administrative Agent, each Group Agent and each Lender, severally and with respect to itself only, agrees to be responsible for any breach of this </w:t>
      </w:r>
      <w:r>
        <w:rPr>
          <w:rFonts w:ascii="Times New Roman;sans-serif" w:hAnsi="Times New Roman;sans-serif"/>
          <w:b w:val="false"/>
          <w:color w:val="000000"/>
          <w:sz w:val="24"/>
          <w:u w:val="single"/>
        </w:rPr>
        <w:t>Section 13.06</w:t>
      </w:r>
      <w:r>
        <w:rPr>
          <w:color w:val="000000"/>
        </w:rPr>
        <w:t xml:space="preserve"> </w:t>
      </w:r>
      <w:r>
        <w:rPr>
          <w:rFonts w:ascii="Times New Roman;sans-serif" w:hAnsi="Times New Roman;sans-serif"/>
          <w:b w:val="false"/>
          <w:color w:val="000000"/>
          <w:sz w:val="24"/>
        </w:rPr>
        <w:t>by its Representatives, Advisors and Program Support Providers and agrees that its Representatives, Advisors and Program Support Providers will be advised by it of the confidential nature of such information and shall agree to comply with this Section.</w:t>
      </w:r>
    </w:p>
    <w:p>
      <w:pPr>
        <w:pStyle w:val="TextBody"/>
        <w:spacing w:lineRule="auto" w:line="240" w:before="0" w:after="240"/>
        <w:ind w:left="0" w:right="0" w:firstLine="1180"/>
        <w:jc w:val="both"/>
        <w:rPr/>
      </w:pPr>
      <w:r>
        <w:rPr>
          <w:rFonts w:ascii="Times New Roman;sans-serif" w:hAnsi="Times New Roman;sans-serif"/>
          <w:b w:val="false"/>
          <w:color w:val="000000"/>
          <w:sz w:val="24"/>
        </w:rPr>
        <w:t>iii.As used in this Section, (i) “</w:t>
      </w:r>
      <w:r>
        <w:rPr>
          <w:rFonts w:ascii="Times New Roman;sans-serif" w:hAnsi="Times New Roman;sans-serif"/>
          <w:b w:val="false"/>
          <w:color w:val="000000"/>
          <w:sz w:val="24"/>
          <w:u w:val="single"/>
        </w:rPr>
        <w:t>Advisors</w:t>
      </w:r>
      <w:r>
        <w:rPr>
          <w:color w:val="000000"/>
        </w:rPr>
        <w:t xml:space="preserve">” </w:t>
      </w:r>
      <w:r>
        <w:rPr>
          <w:rFonts w:ascii="Times New Roman;sans-serif" w:hAnsi="Times New Roman;sans-serif"/>
          <w:b w:val="false"/>
          <w:color w:val="000000"/>
          <w:sz w:val="24"/>
        </w:rPr>
        <w:t>means, with respect to any Person, such Person’s accountants, attorneys and other confidential advisors and (ii) “</w:t>
      </w:r>
      <w:r>
        <w:rPr>
          <w:rFonts w:ascii="Times New Roman;sans-serif" w:hAnsi="Times New Roman;sans-serif"/>
          <w:b w:val="false"/>
          <w:color w:val="000000"/>
          <w:sz w:val="24"/>
          <w:u w:val="single"/>
        </w:rPr>
        <w:t>Representatives</w:t>
      </w:r>
      <w:r>
        <w:rPr>
          <w:color w:val="000000"/>
        </w:rPr>
        <w:t xml:space="preserve">” </w:t>
      </w:r>
      <w:r>
        <w:rPr>
          <w:rFonts w:ascii="Times New Roman;sans-serif" w:hAnsi="Times New Roman;sans-serif"/>
          <w:b w:val="false"/>
          <w:color w:val="000000"/>
          <w:sz w:val="24"/>
        </w:rPr>
        <w:t xml:space="preserve">means, with respect to any Person, such Person’s Affiliates, and its and their Subsidiaries, directors, managers, officers, employees, members, investors, financing sources, insurers, professional advisors, representatives and agents;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Persons shall not be deemed to Representatives of a Person unless (and solely to the extent that) confidential information is furnished to such Person.</w:t>
      </w:r>
    </w:p>
    <w:p>
      <w:pPr>
        <w:pStyle w:val="TextBody"/>
        <w:spacing w:lineRule="auto" w:line="240" w:before="0" w:after="240"/>
        <w:ind w:left="0" w:right="0" w:firstLine="1193"/>
        <w:jc w:val="both"/>
        <w:rPr>
          <w:rFonts w:ascii="Times New Roman;sans-serif" w:hAnsi="Times New Roman;sans-serif"/>
          <w:b w:val="false"/>
          <w:color w:val="000000"/>
          <w:sz w:val="24"/>
        </w:rPr>
      </w:pPr>
      <w:r>
        <w:rPr>
          <w:rFonts w:ascii="Times New Roman;sans-serif" w:hAnsi="Times New Roman;sans-serif"/>
          <w:b w:val="false"/>
          <w:color w:val="000000"/>
          <w:sz w:val="24"/>
        </w:rPr>
        <w:t>iv.Notwithstanding the foregoing, to the extent not inconsistent with applicable securities laws, each party hereto (and each of its employees, representatives or other agents) may disclose to any and all persons, without limitation of any kind, the tax treatment and tax structure (as defined in Section 1.6011-4 of the Treasury Regulations) of the transactions contemplated by the Transaction Documents and all materials of any kind (including opinions or other tax analyses) that are provided to such Person relating to such tax treatment and tax structure.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1.0g.</w:t>
      </w:r>
      <w:r>
        <w:rPr>
          <w:rFonts w:ascii="Times New Roman;sans-serif" w:hAnsi="Times New Roman;sans-serif"/>
          <w:b w:val="false"/>
          <w:color w:val="000000"/>
          <w:sz w:val="24"/>
        </w:rPr>
        <w:t>GOVERNING LAW.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EXCEPT TO THE EXTENT THAT THE PERFECTION, THE EFFECT OF PERFECTION OR PRIORITY OF THE INTERESTS OF ADMINISTRATIVE AGENT OR ANY LENDER IN THE COLLATERAL IS GOVERNED BY THE LAWS OF A JURISDICTION OTHER THAN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1.0h.</w:t>
      </w:r>
      <w:r>
        <w:rPr>
          <w:rFonts w:ascii="Times New Roman;sans-serif" w:hAnsi="Times New Roman;sans-serif"/>
          <w:b w:val="false"/>
          <w:color w:val="000000"/>
          <w:sz w:val="24"/>
        </w:rPr>
        <w:t>Execution in Counterparts. This Agreement may be executed in any number of counterparts, each of which when so executed shall be deemed to be an original and all of which when taken together shall constitute one and the same agreement. Delivery of an executed counterpart hereof by facsimile or other electronic means shall be equally effective as delivery of an originally executed counterpart.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1.0i.</w:t>
      </w:r>
      <w:r>
        <w:rPr>
          <w:rFonts w:ascii="Times New Roman;sans-serif" w:hAnsi="Times New Roman;sans-serif"/>
          <w:b w:val="false"/>
          <w:color w:val="000000"/>
          <w:sz w:val="24"/>
        </w:rPr>
        <w:t xml:space="preserve">Integration; Binding Effect; Survival of Termination. This Agreement and the other Transaction Documents contain the final and complete integration of all prior expressions by the parties hereto with respect to the subject matter hereof and shall constitute the entire agreement among the parties hereto with respect to the subject matter hereof </w:t>
      </w:r>
      <w:r>
        <w:br w:type="page"/>
      </w:r>
    </w:p>
    <w:p>
      <w:pPr>
        <w:pStyle w:val="TextBody"/>
        <w:spacing w:before="0" w:after="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92100"/>
                <wp:effectExtent l="0" t="0" r="0" b="0"/>
                <wp:wrapNone/>
                <wp:docPr id="160" name="Frame16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superseding all prior oral or written understandings. This Agreement shall be binding upon and inure to the benefit of the parties hereto and their respective successors and permitted assigns. This Agreement shall create and constitute the continuing obligations of the parties hereto in accordance with its terms and shall remain in full force and effect until the Final Payout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provisions of </w:t>
      </w:r>
      <w:r>
        <w:rPr>
          <w:rFonts w:ascii="Times New Roman;sans-serif" w:hAnsi="Times New Roman;sans-serif"/>
          <w:b w:val="false"/>
          <w:color w:val="000000"/>
          <w:sz w:val="24"/>
          <w:u w:val="single"/>
        </w:rPr>
        <w:t>Sections 4.01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4.03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10.06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11.04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12.02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13.04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13.05</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13.06</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13.09</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13.11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13.13</w:t>
      </w:r>
      <w:r>
        <w:rPr>
          <w:color w:val="000000"/>
        </w:rPr>
        <w:t xml:space="preserve"> </w:t>
      </w:r>
      <w:r>
        <w:rPr>
          <w:rFonts w:ascii="Times New Roman;sans-serif" w:hAnsi="Times New Roman;sans-serif"/>
          <w:b w:val="false"/>
          <w:color w:val="000000"/>
          <w:sz w:val="24"/>
        </w:rPr>
        <w:t>shall survive any termination of this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1.j.</w:t>
      </w:r>
      <w:r>
        <w:rPr>
          <w:rFonts w:ascii="Times New Roman;sans-serif" w:hAnsi="Times New Roman;sans-serif"/>
          <w:b w:val="false"/>
          <w:color w:val="000000"/>
          <w:sz w:val="24"/>
        </w:rPr>
        <w:t xml:space="preserve">CONSENT TO JURISDICTION. </w:t>
      </w:r>
    </w:p>
    <w:p>
      <w:pPr>
        <w:pStyle w:val="TextBody"/>
        <w:spacing w:lineRule="auto" w:line="240" w:before="0" w:after="240"/>
        <w:ind w:left="0" w:right="0" w:firstLine="1313"/>
        <w:jc w:val="both"/>
        <w:rPr/>
      </w:pPr>
      <w:r>
        <w:rPr>
          <w:rFonts w:ascii="Times New Roman;sans-serif" w:hAnsi="Times New Roman;sans-serif"/>
          <w:b w:val="false"/>
          <w:color w:val="000000"/>
          <w:sz w:val="24"/>
        </w:rPr>
        <w:t xml:space="preserve">i.EACH PARTY HERETO HEREBY IRREVOCABLY SUBMITS TO (I) WITH RESPECT TO THE BORROWER AND THE SERVICER, THE EXCLUSIVE JURISDICTION, AND (II) WITH RESPECT TO EACH OF THE OTHER PARTIES HERETO, THE NON-EXCLUSIVE JURISDICTION, IN EACH CASE, OF ANY NEW YORK STATE OR FEDERAL COURT SITTING IN NEW YORK CITY, NEW YORK IN ANY ACTION OR PROCEEDING ARISING OUT OF OR RELATING TO THIS AGREEMENT OR ANY OTHER TRANSACTION DOCUMENT, AND EACH PARTY HERETO HEREBY IRREVOCABLY AGREES THAT ALL CLAIMS IN RESPECT OF SUCH ACTION OR PROCEEDING (I) IF BROUGHT BY THE BORROWER, THE SERVICER OR ANY AFFILIATE THEREOF, SHALL BE HEARD AND DETERMINED, AND (II) IF BROUGHT BY ANY OTHER PARTY TO THIS AGREEMENT OR ANY OTHER TRANSACTION DOCUMENT, MAY BE HEARD AND DETERMINED, IN EACH CASE, IN SUCH NEW YORK STATE COURT OR, TO THE EXTENT PERMITTED BY LAW, IN SUCH FEDERAL COURT. NOTHING IN THIS </w:t>
      </w:r>
      <w:r>
        <w:rPr>
          <w:rFonts w:ascii="Times New Roman;sans-serif" w:hAnsi="Times New Roman;sans-serif"/>
          <w:b w:val="false"/>
          <w:color w:val="000000"/>
          <w:sz w:val="24"/>
          <w:u w:val="single"/>
        </w:rPr>
        <w:t>SECTION 13.10</w:t>
      </w:r>
      <w:r>
        <w:rPr>
          <w:color w:val="000000"/>
        </w:rPr>
        <w:t xml:space="preserve"> </w:t>
      </w:r>
      <w:r>
        <w:rPr>
          <w:rFonts w:ascii="Times New Roman;sans-serif" w:hAnsi="Times New Roman;sans-serif"/>
          <w:b w:val="false"/>
          <w:color w:val="000000"/>
          <w:sz w:val="24"/>
        </w:rPr>
        <w:t>SHALL AFFECT THE RIGHT OF THE ADMINISTRATIVE AGENT OR ANY OTHER CREDIT PARTY TO BRING ANY ACTION OR PROCEEDING AGAINST THE BORROWER OR THE SERVICER OR ANY OF THEIR RESPECTIVE PROPERTY IN THE COURTS OF OTHER JURISDICTIONS. EACH OF THE BORROWER AND THE SERVICER HEREBY IRREVOCABLY WAIVES, TO THE FULLEST EXTENT IT MAY EFFECTIVELY DO SO, THE DEFENSE OF AN INCONVENIENT FORUM TO THE MAINTENANCE OF SUCH ACTION OR PROCEEDING. THE PARTIES HERETO AGREE THAT A FINAL JUDGMENT IN ANY SUCH ACTION OR PROCEEDING SHALL BE CONCLUSIVE AND MAY BE ENFORCED IN OTHER JURISDICTIONS BY SUIT ON THE JUDGMENT OR IN ANY OTHER MANNER PROVIDED BY LAW.</w:t>
      </w:r>
    </w:p>
    <w:p>
      <w:pPr>
        <w:pStyle w:val="TextBody"/>
        <w:spacing w:lineRule="auto" w:line="240" w:before="0" w:after="240"/>
        <w:ind w:left="0" w:right="0" w:firstLine="1247"/>
        <w:jc w:val="both"/>
        <w:rPr/>
      </w:pPr>
      <w:r>
        <w:rPr>
          <w:rFonts w:ascii="Times New Roman;sans-serif" w:hAnsi="Times New Roman;sans-serif"/>
          <w:b w:val="false"/>
          <w:color w:val="000000"/>
          <w:sz w:val="24"/>
        </w:rPr>
        <w:t>ii.</w:t>
      </w:r>
      <w:r>
        <w:rPr>
          <w:rFonts w:ascii="Times New Roman;sans-serif" w:hAnsi="Times New Roman;sans-serif"/>
          <w:b/>
          <w:color w:val="000000"/>
          <w:sz w:val="24"/>
        </w:rPr>
        <w:t xml:space="preserve">EACH OF THE BORROWER AND THE SERVICER CONSENTS TO THE SERVICE OF ANY AND ALL PROCESS IN ANY SUCH ACTION OR PROCEEDING BY THE MAILING OF COPIES OF SUCH PROCESS TO IT AT ITS ADDRESS SPECIFIED IN </w:t>
      </w:r>
      <w:r>
        <w:rPr>
          <w:rFonts w:ascii="Times New Roman;sans-serif" w:hAnsi="Times New Roman;sans-serif"/>
          <w:b/>
          <w:color w:val="000000"/>
          <w:sz w:val="24"/>
          <w:u w:val="single"/>
        </w:rPr>
        <w:t>SECTION 13.02</w:t>
      </w:r>
      <w:r>
        <w:rPr>
          <w:rFonts w:ascii="Times New Roman;sans-serif" w:hAnsi="Times New Roman;sans-serif"/>
          <w:b/>
          <w:color w:val="000000"/>
          <w:sz w:val="24"/>
        </w:rPr>
        <w:t xml:space="preserve">. NOTHING IN THIS </w:t>
      </w:r>
      <w:r>
        <w:rPr>
          <w:rFonts w:ascii="Times New Roman;sans-serif" w:hAnsi="Times New Roman;sans-serif"/>
          <w:b/>
          <w:color w:val="000000"/>
          <w:sz w:val="24"/>
          <w:u w:val="single"/>
        </w:rPr>
        <w:t>SECTION 13.10</w:t>
      </w:r>
      <w:r>
        <w:rPr>
          <w:color w:val="000000"/>
        </w:rPr>
        <w:t xml:space="preserve"> </w:t>
      </w:r>
      <w:r>
        <w:rPr>
          <w:rFonts w:ascii="Times New Roman;sans-serif" w:hAnsi="Times New Roman;sans-serif"/>
          <w:b/>
          <w:color w:val="000000"/>
          <w:sz w:val="24"/>
        </w:rPr>
        <w:t>SHALL AFFECT THE RIGHT OF THE ADMINISTRATIVE AGENT OR ANY OTHER CREDIT PARTY TO SERVE LEGAL PROCESS IN ANY OTHER MANNER PERMITTED BY LAW.</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1.k.</w:t>
      </w:r>
      <w:r>
        <w:rPr>
          <w:rFonts w:ascii="Times New Roman;sans-serif" w:hAnsi="Times New Roman;sans-serif"/>
          <w:b w:val="false"/>
          <w:color w:val="000000"/>
          <w:sz w:val="24"/>
        </w:rPr>
        <w:t>WAIVER OF JURY TRIAL. EACH PARTY HERETO HEREBY WAIVES, TO THE MAXIMUM EXTENT PERMITTED BY APPLICABLE LAW, TRIAL BY JURY IN ANY JUDICIAL PROCEEDING INVOLVING, DIRECTLY OR INDIRECTLY, ANY MATTER (WHETHER SOUNDING IN TORT, CONTRACT OR OTHERWISE) IN ANY WAY ARISING OUT OF, RELATED TO, OR CONNECTED WITH THIS AGREEMENT OR ANY OTHER TRANSACTION DOCUMENT.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1.l.</w:t>
      </w:r>
      <w:r>
        <w:rPr>
          <w:rFonts w:ascii="Times New Roman;sans-serif" w:hAnsi="Times New Roman;sans-serif"/>
          <w:b w:val="false"/>
          <w:color w:val="000000"/>
          <w:sz w:val="24"/>
        </w:rPr>
        <w:t xml:space="preserve">Ratable Payments. If any Credit Party, whether by setoff or otherwise, has payment made to it with respect to any Borrower Obligations in a greater proportion than that received by any other Credit Party entitled to receive a ratable share of such Borrower Obligations, such Credit Party agrees, promptly upon demand, to purchase for cash without </w:t>
      </w:r>
      <w:r>
        <w:br w:type="page"/>
      </w:r>
    </w:p>
    <w:p>
      <w:pPr>
        <w:pStyle w:val="TextBody"/>
        <w:spacing w:before="0" w:after="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92100"/>
                <wp:effectExtent l="0" t="0" r="0" b="0"/>
                <wp:wrapNone/>
                <wp:docPr id="161" name="Frame16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pPr>
      <w:r>
        <w:rPr>
          <w:rFonts w:ascii="Times New Roman;sans-serif" w:hAnsi="Times New Roman;sans-serif"/>
          <w:b w:val="false"/>
          <w:color w:val="000000"/>
          <w:sz w:val="24"/>
        </w:rPr>
        <w:t xml:space="preserve">recourse or warranty a portion of such Borrower Obligations held by the other Credit Parties so that after such purchase each Credit Party will hold its ratable proportion of such Borrower Obligations;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all or any portion of such excess amount is thereafter recovered from such Credit Party, such purchase shall be rescinded and the purchase price restored to the extent of such recovery, but without interest.</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1.m.</w:t>
      </w:r>
      <w:r>
        <w:rPr>
          <w:rFonts w:ascii="Times New Roman;sans-serif" w:hAnsi="Times New Roman;sans-serif"/>
          <w:b w:val="false"/>
          <w:color w:val="000000"/>
          <w:sz w:val="24"/>
        </w:rPr>
        <w:t>Limitation of Liability.</w:t>
      </w:r>
    </w:p>
    <w:p>
      <w:pPr>
        <w:pStyle w:val="TextBody"/>
        <w:spacing w:lineRule="auto" w:line="240" w:before="0" w:after="240"/>
        <w:ind w:left="0" w:right="0" w:firstLine="1313"/>
        <w:jc w:val="both"/>
        <w:rPr>
          <w:rFonts w:ascii="Times New Roman;sans-serif" w:hAnsi="Times New Roman;sans-serif"/>
          <w:b w:val="false"/>
          <w:color w:val="000000"/>
          <w:sz w:val="24"/>
        </w:rPr>
      </w:pPr>
      <w:r>
        <w:rPr>
          <w:rFonts w:ascii="Times New Roman;sans-serif" w:hAnsi="Times New Roman;sans-serif"/>
          <w:b w:val="false"/>
          <w:color w:val="000000"/>
          <w:sz w:val="24"/>
        </w:rPr>
        <w:t>i.No claim may be made by the Borrower or any Affiliate thereof or any other Person against any Credit Party or their respective Affiliates, members, directors, officers, employees, incorporators,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herewith or therewith; and each of the Borrower and the Servicer hereby waives, releases, and agrees not to sue upon any claim for any such damages, whether or not accrued and whether or not known or suspected to exist in its favor. None of the Credit Parties and their respective Affiliates shall have any liability to the Borrower or any Affiliate thereof or any other Person asserting claims on behalf of or in right of the Borrower or any Affiliate thereof in connection with or as a result of this Agreement or any other Transaction Document or the transactions contemplated hereby or thereby, except to the extent that any losses, claims, damages, liabilities or expenses incurred by the Borrower or any Affiliate thereof result from the breach of contract, gross negligence or willful misconduct of such Credit Party in performing its duties and obligations hereunder and under the other Transaction Documents to which it is a party.</w:t>
      </w:r>
    </w:p>
    <w:p>
      <w:pPr>
        <w:pStyle w:val="TextBody"/>
        <w:spacing w:lineRule="auto" w:line="240" w:before="0" w:after="240"/>
        <w:ind w:left="0" w:right="0" w:firstLine="1247"/>
        <w:jc w:val="both"/>
        <w:rPr>
          <w:rFonts w:ascii="Times New Roman;sans-serif" w:hAnsi="Times New Roman;sans-serif"/>
          <w:b w:val="false"/>
          <w:color w:val="000000"/>
          <w:sz w:val="24"/>
        </w:rPr>
      </w:pPr>
      <w:r>
        <w:rPr>
          <w:rFonts w:ascii="Times New Roman;sans-serif" w:hAnsi="Times New Roman;sans-serif"/>
          <w:b w:val="false"/>
          <w:color w:val="000000"/>
          <w:sz w:val="24"/>
        </w:rPr>
        <w:t>ii.The obligations of the Administrative Agent and each of the other Credit Parties under this Agreement and each of the Transaction Documents are solely the corporate obligations of such Person. No recourse shall be had for any obligation or claim arising out of or based upon this Agreement or any other Transaction Document against any member, director, officer, employee or incorporator of any such Person.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1.n.</w:t>
      </w:r>
      <w:r>
        <w:rPr>
          <w:rFonts w:ascii="Times New Roman;sans-serif" w:hAnsi="Times New Roman;sans-serif"/>
          <w:b w:val="false"/>
          <w:color w:val="000000"/>
          <w:sz w:val="24"/>
        </w:rPr>
        <w:t>Intent of the Parties. The Borrower has structured this Agreement with the intention that the Loans and the obligations of the Borrower hereunder will be treated under United States federal, and applicable state, local and foreign tax law as debt (the “</w:t>
      </w:r>
      <w:r>
        <w:rPr>
          <w:rFonts w:ascii="Times New Roman;sans-serif" w:hAnsi="Times New Roman;sans-serif"/>
          <w:b w:val="false"/>
          <w:color w:val="000000"/>
          <w:sz w:val="24"/>
          <w:u w:val="single"/>
        </w:rPr>
        <w:t>Intended Tax Treatment</w:t>
      </w:r>
      <w:r>
        <w:rPr>
          <w:color w:val="000000"/>
        </w:rPr>
        <w:t>”</w:t>
      </w:r>
      <w:r>
        <w:rPr>
          <w:rFonts w:ascii="Times New Roman;sans-serif" w:hAnsi="Times New Roman;sans-serif"/>
          <w:b w:val="false"/>
          <w:color w:val="000000"/>
          <w:sz w:val="24"/>
        </w:rPr>
        <w:t>). The Borrower, the Servicer, the Administrative Agent and the other Credit Parties agree to file no tax return, or take any action, inconsistent with the Intended Tax Treatment unless required by law. Each assignee and each Participant acquiring an interest in a Credit Extension, by its acceptance of such assignment or participation, agrees to comply with the immediately preceding sentence.</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1.o.</w:t>
      </w:r>
      <w:r>
        <w:rPr>
          <w:rFonts w:ascii="Times New Roman;sans-serif" w:hAnsi="Times New Roman;sans-serif"/>
          <w:b w:val="false"/>
          <w:color w:val="000000"/>
          <w:sz w:val="24"/>
        </w:rPr>
        <w:t>USA Patriot Act. Each of the Administrative Agent and each of the other Credit Parties hereby notifies the Borrower and the Servicer that pursuant to the requirements of the USA PATRIOT Act, Title III of Pub. L. 107-56 (signed into law October 26, 2001) (the “</w:t>
      </w:r>
      <w:r>
        <w:rPr>
          <w:rFonts w:ascii="Times New Roman;sans-serif" w:hAnsi="Times New Roman;sans-serif"/>
          <w:b w:val="false"/>
          <w:color w:val="000000"/>
          <w:sz w:val="24"/>
          <w:u w:val="single"/>
        </w:rPr>
        <w:t>PATRIOT Act</w:t>
      </w:r>
      <w:r>
        <w:rPr>
          <w:color w:val="000000"/>
        </w:rPr>
        <w:t>”</w:t>
      </w:r>
      <w:r>
        <w:rPr>
          <w:rFonts w:ascii="Times New Roman;sans-serif" w:hAnsi="Times New Roman;sans-serif"/>
          <w:b w:val="false"/>
          <w:color w:val="000000"/>
          <w:sz w:val="24"/>
        </w:rPr>
        <w:t xml:space="preserve">), the Administrative Agent and the other Credit Parties may be required to obtain, verify and record information that identifies any Integra Party, which information includes the name, address, tax identification number and other information regarding any Integra Party that will allow the Administrative Agent and the other Credit Parties to identify such Integra Party in accordance with the PATRIOT Act. This notice is given in accordance with the requirements of the PATRIOT Act. Each of the Borrower and the Servicer agrees to provide the Administrative Agent and each other Credit Parties such information and documentation as may reasonably be requested by the Administrative Agent or any Credit Party, from time to time, for purposes of compliance by the Administrative Agent or such Credit Party with Applicable Laws (including without limitation the PATRIOT Act and other “know your </w:t>
      </w:r>
      <w:r>
        <w:br w:type="page"/>
      </w:r>
    </w:p>
    <w:p>
      <w:pPr>
        <w:pStyle w:val="TextBody"/>
        <w:spacing w:before="0" w:after="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92100"/>
                <wp:effectExtent l="0" t="0" r="0" b="0"/>
                <wp:wrapNone/>
                <wp:docPr id="162" name="Frame16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customer” and anti-money laundering rules and regulations) and any policy or procedure implemented by the Administrative Agent or such Credit Party to comply therewith.</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1.p.</w:t>
      </w:r>
      <w:r>
        <w:rPr>
          <w:rFonts w:ascii="Times New Roman;sans-serif" w:hAnsi="Times New Roman;sans-serif"/>
          <w:b w:val="false"/>
          <w:color w:val="000000"/>
          <w:sz w:val="24"/>
        </w:rPr>
        <w:t xml:space="preserve">Right of Setoff. Each Credit Party is hereby authorized (in addition to any other rights it may have), at any time during the continuance of an Event of Default, to setoff, appropriate and apply (without presentment, demand, protest or other notice which are hereby expressly waived) any deposits and any other indebtedness held or owing by such Credit Party (including by any branches or agencies of such Credit Party) to, or for the account of, the Borrower or the Servicer against amounts owing by the Borrower or the Servicer hereunder (even if contingent or unmatured);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such Credit Party shall notify the Borrower or the Servicer, as applicable, promptly following such setoff.</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1.q.</w:t>
      </w:r>
      <w:r>
        <w:rPr>
          <w:rFonts w:ascii="Times New Roman;sans-serif" w:hAnsi="Times New Roman;sans-serif"/>
          <w:b w:val="false"/>
          <w:color w:val="000000"/>
          <w:sz w:val="24"/>
        </w:rPr>
        <w:t>Severability. Any provisions of this Agreement which are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1.r.</w:t>
      </w:r>
      <w:r>
        <w:rPr>
          <w:rFonts w:ascii="Times New Roman;sans-serif" w:hAnsi="Times New Roman;sans-serif"/>
          <w:b w:val="false"/>
          <w:color w:val="000000"/>
          <w:sz w:val="24"/>
        </w:rPr>
        <w:t>Mutual Negotiations. This Agreement and the other Transaction Documents are the product of mutual negotiations by the parties thereto and their counsel, and no party shall be deemed the draftsperson of this Agreement or any other Transaction Document or any provision hereof or thereof or to have provided the same. Accordingly, in the event of any inconsistency or ambiguity of any provision of this Agreement or any other Transaction Document, such inconsistency or ambiguity shall not be interpreted against any party because of such party’s involvement in the drafting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1.s.</w:t>
      </w:r>
      <w:r>
        <w:rPr>
          <w:rFonts w:ascii="Times New Roman;sans-serif" w:hAnsi="Times New Roman;sans-serif"/>
          <w:b w:val="false"/>
          <w:color w:val="000000"/>
          <w:sz w:val="24"/>
        </w:rPr>
        <w:t>Captions and Cross References. The various captions (including the table of contents) in this Agreement are provided solely for convenience of reference and shall not affect the meaning or interpretation of any provision of this Agreement. Unless otherwise indicated, references in this Agreement to any Section, Schedule or Exhibit are to such Section Schedule or Exhibit to this Agreement, as the case may be, and references in any Section, subsection, or clause to any subsection, clause or subclause are to such subsection, clause or subclause of such Section, subsection or clause.</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[Signature Pages Follow]</w:t>
      </w:r>
    </w:p>
    <w:p>
      <w:pPr>
        <w:pStyle w:val="TextBody"/>
        <w:spacing w:before="0" w:after="9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92100"/>
                <wp:effectExtent l="0" t="0" r="0" b="0"/>
                <wp:wrapNone/>
                <wp:docPr id="163" name="Frame16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6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caused this Agreement to be executed by their respective officers thereunto duly authorized, as of the date first above written.</w:t>
      </w:r>
    </w:p>
    <w:p>
      <w:pPr>
        <w:pStyle w:val="TextBody"/>
        <w:spacing w:lineRule="auto" w:line="240" w:before="0" w:after="0"/>
        <w:jc w:val="both"/>
        <w:rPr/>
      </w:pPr>
      <w:r>
        <w:rPr>
          <w:rFonts w:ascii="Times New Roman;sans-serif" w:hAnsi="Times New Roman;sans-serif"/>
          <w:b/>
          <w:color w:val="000000"/>
          <w:sz w:val="24"/>
        </w:rPr>
        <w:t>INTEGRA RECEIVABLES LLC</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Borrower</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p>
    <w:p>
      <w:pPr>
        <w:pStyle w:val="TextBody"/>
        <w:spacing w:lineRule="auto" w:line="240" w:before="0" w:after="0"/>
        <w:jc w:val="both"/>
        <w:rPr/>
      </w:pPr>
      <w:r>
        <w:rPr>
          <w:rFonts w:ascii="Times New Roman;sans-serif" w:hAnsi="Times New Roman;sans-serif"/>
          <w:b/>
          <w:color w:val="000000"/>
          <w:sz w:val="24"/>
        </w:rPr>
        <w:t>INTEGRA LIFESCIENCES SALES LLC</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the Servicer </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spacing w:lineRule="auto" w:line="240" w:before="0" w:after="360"/>
        <w:jc w:val="both"/>
        <w:rPr/>
      </w:pPr>
      <w:r>
        <w:rPr>
          <w:rFonts w:ascii="Times New Roman;sans-serif" w:hAnsi="Times New Roman;sans-serif"/>
          <w:b w:val="false"/>
          <w:color w:val="000000"/>
          <w:sz w:val="24"/>
        </w:rPr>
        <w:t xml:space="preserve">Title: </w:t>
      </w:r>
      <w:r>
        <w:rPr>
          <w:color w:val="000000"/>
          <w:u w:val="single"/>
        </w:rPr>
        <w:t>                        </w:t>
      </w:r>
    </w:p>
    <w:p>
      <w:pPr>
        <w:pStyle w:val="TextBody"/>
        <w:spacing w:before="0" w:after="600"/>
        <w:jc w:val="both"/>
        <w:rPr/>
      </w:pPr>
      <w:r>
        <w:rPr/>
      </w:r>
    </w:p>
    <w:p>
      <w:pPr>
        <w:pStyle w:val="TextBody"/>
        <w:spacing w:before="0" w:after="240"/>
        <w:jc w:val="both"/>
        <w:rPr/>
      </w:pPr>
      <w:r>
        <w:rPr/>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687705"/>
                <wp:effectExtent l="0" t="0" r="0" b="0"/>
                <wp:wrapNone/>
                <wp:docPr id="164" name="Frame164"/>
                <a:graphic xmlns:a="http://schemas.openxmlformats.org/drawingml/2006/main">
                  <a:graphicData uri="http://schemas.microsoft.com/office/word/2010/wordprocessingShape">
                    <wps:wsp>
                      <wps:cNvSpPr txBox="1"/>
                      <wps:spPr>
                        <a:xfrm>
                          <a:off x="0" y="0"/>
                          <a:ext cx="6480175" cy="687705"/>
                        </a:xfrm>
                        <a:prstGeom prst="rect"/>
                      </wps:spPr>
                      <wps:txb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S-1</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Administrative Agent</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the Group Agent for the PNC Group</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p>
    <w:p>
      <w:pPr>
        <w:pStyle w:val="TextBody"/>
        <w:spacing w:lineRule="auto" w:line="240" w:before="0" w:after="0"/>
        <w:jc w:val="both"/>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jc w:val="both"/>
        <w:rPr>
          <w:rFonts w:ascii="Times New Roman;sans-serif" w:hAnsi="Times New Roman;sans-serif"/>
          <w:b w:val="false"/>
          <w:color w:val="000000"/>
          <w:sz w:val="24"/>
        </w:rPr>
      </w:pPr>
      <w:r>
        <w:rPr>
          <w:rFonts w:ascii="Times New Roman;sans-serif" w:hAnsi="Times New Roman;sans-serif"/>
          <w:b w:val="false"/>
          <w:color w:val="000000"/>
          <w:sz w:val="24"/>
        </w:rPr>
        <w:t>as a Committed Lender</w:t>
      </w:r>
    </w:p>
    <w:p>
      <w:pPr>
        <w:pStyle w:val="TextBody"/>
        <w:spacing w:lineRule="auto" w:line="240" w:before="0" w:after="0"/>
        <w:jc w:val="both"/>
        <w:rPr/>
      </w:pPr>
      <w:r>
        <w:rPr>
          <w:rFonts w:ascii="Times New Roman;sans-serif" w:hAnsi="Times New Roman;sans-serif"/>
          <w:b w:val="false"/>
          <w:color w:val="000000"/>
          <w:sz w:val="24"/>
        </w:rPr>
        <w:t xml:space="preserve">By: </w:t>
      </w:r>
      <w:r>
        <w:rPr>
          <w:color w:val="000000"/>
          <w:u w:val="single"/>
        </w:rPr>
        <w:t>                        </w:t>
      </w:r>
    </w:p>
    <w:p>
      <w:pPr>
        <w:pStyle w:val="TextBody"/>
        <w:spacing w:lineRule="auto" w:line="240" w:before="0" w:after="0"/>
        <w:jc w:val="both"/>
        <w:rPr/>
      </w:pPr>
      <w:r>
        <w:rPr>
          <w:rFonts w:ascii="Times New Roman;sans-serif" w:hAnsi="Times New Roman;sans-serif"/>
          <w:b w:val="false"/>
          <w:color w:val="000000"/>
          <w:sz w:val="24"/>
        </w:rPr>
        <w:t xml:space="preserve">Name: </w:t>
      </w:r>
      <w:r>
        <w:rPr>
          <w:color w:val="000000"/>
          <w:u w:val="single"/>
        </w:rPr>
        <w:t>                    </w:t>
      </w:r>
    </w:p>
    <w:p>
      <w:pPr>
        <w:pStyle w:val="TextBody"/>
        <w:spacing w:lineRule="auto" w:line="240" w:before="0" w:after="600"/>
        <w:jc w:val="both"/>
        <w:rPr/>
      </w:pPr>
      <w:r>
        <w:rPr>
          <w:rFonts w:ascii="Times New Roman;sans-serif" w:hAnsi="Times New Roman;sans-serif"/>
          <w:b w:val="false"/>
          <w:color w:val="000000"/>
          <w:sz w:val="24"/>
        </w:rPr>
        <w:t xml:space="preserve">Title: </w:t>
      </w:r>
      <w:r>
        <w:rPr>
          <w:color w:val="000000"/>
          <w:u w:val="single"/>
        </w:rPr>
        <w:t>                        </w:t>
      </w:r>
    </w:p>
    <w:p>
      <w:pPr>
        <w:pStyle w:val="TextBody"/>
        <w:spacing w:before="0" w:after="600"/>
        <w:jc w:val="both"/>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687705"/>
                <wp:effectExtent l="0" t="0" r="0" b="0"/>
                <wp:wrapNone/>
                <wp:docPr id="165" name="Frame165"/>
                <a:graphic xmlns:a="http://schemas.openxmlformats.org/drawingml/2006/main">
                  <a:graphicData uri="http://schemas.microsoft.com/office/word/2010/wordprocessingShape">
                    <wps:wsp>
                      <wps:cNvSpPr txBox="1"/>
                      <wps:spPr>
                        <a:xfrm>
                          <a:off x="0" y="0"/>
                          <a:ext cx="6480175" cy="687705"/>
                        </a:xfrm>
                        <a:prstGeom prst="rect"/>
                      </wps:spPr>
                      <wps:txb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S-2</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S-2</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360"/>
        <w:rPr>
          <w:rFonts w:ascii="Times New Roman;sans-serif" w:hAnsi="Times New Roman;sans-serif"/>
          <w:b/>
          <w:color w:val="000000"/>
          <w:sz w:val="24"/>
        </w:rPr>
      </w:pPr>
      <w:r>
        <w:rPr>
          <w:rFonts w:ascii="Times New Roman;sans-serif" w:hAnsi="Times New Roman;sans-serif"/>
          <w:b/>
          <w:color w:val="000000"/>
          <w:sz w:val="24"/>
        </w:rPr>
        <w:t>ACCEPTED AND ACKNOWLEDGED SOLELY WITH RESPECT TO SECTION 10.10 HEREOF:</w:t>
      </w:r>
    </w:p>
    <w:p>
      <w:pPr>
        <w:pStyle w:val="TextBody"/>
        <w:spacing w:lineRule="auto" w:line="240" w:before="0" w:after="0"/>
        <w:rPr/>
      </w:pPr>
      <w:r>
        <w:rPr>
          <w:rFonts w:ascii="Times New Roman;sans-serif" w:hAnsi="Times New Roman;sans-serif"/>
          <w:b/>
          <w:color w:val="000000"/>
          <w:sz w:val="24"/>
        </w:rPr>
        <w:t>PNC CAPITAL MARKETS LLC</w:t>
      </w:r>
      <w:r>
        <w:rPr>
          <w:rFonts w:ascii="Times New Roman;sans-serif" w:hAnsi="Times New Roman;sans-serif"/>
          <w:b w:val="false"/>
          <w:color w:val="000000"/>
          <w:sz w:val="24"/>
        </w:rPr>
        <w:t>,</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as the Structuring Agent</w:t>
      </w:r>
    </w:p>
    <w:p>
      <w:pPr>
        <w:pStyle w:val="TextBody"/>
        <w:spacing w:lineRule="auto" w:line="240" w:before="0" w:after="0"/>
        <w:rPr/>
      </w:pPr>
      <w:r>
        <w:rPr>
          <w:rFonts w:ascii="Times New Roman;sans-serif" w:hAnsi="Times New Roman;sans-serif"/>
          <w:b w:val="false"/>
          <w:color w:val="000000"/>
          <w:sz w:val="24"/>
        </w:rPr>
        <w:t xml:space="preserve">By: </w:t>
      </w:r>
      <w:r>
        <w:rPr>
          <w:color w:val="000000"/>
          <w:u w:val="single"/>
        </w:rPr>
        <w:t>                        </w:t>
      </w:r>
      <w:r>
        <w:rPr>
          <w:rFonts w:ascii="Times New Roman;sans-serif" w:hAnsi="Times New Roman;sans-serif"/>
          <w:b w:val="false"/>
          <w:color w:val="000000"/>
          <w:sz w:val="24"/>
        </w:rPr>
        <w:br/>
        <w:t xml:space="preserve">Name: </w:t>
      </w:r>
      <w:r>
        <w:rPr>
          <w:color w:val="000000"/>
          <w:u w:val="single"/>
        </w:rPr>
        <w:t>                    </w:t>
      </w:r>
      <w:r>
        <w:rPr>
          <w:rFonts w:ascii="Times New Roman;sans-serif" w:hAnsi="Times New Roman;sans-serif"/>
          <w:b w:val="false"/>
          <w:color w:val="000000"/>
          <w:sz w:val="24"/>
        </w:rPr>
        <w:br/>
        <w:t xml:space="preserve">Title: </w:t>
      </w:r>
      <w:r>
        <w:rPr>
          <w:color w:val="000000"/>
          <w:u w:val="single"/>
        </w:rPr>
        <w:t>                        </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687705"/>
                <wp:effectExtent l="0" t="0" r="0" b="0"/>
                <wp:wrapNone/>
                <wp:docPr id="166" name="Frame166"/>
                <a:graphic xmlns:a="http://schemas.openxmlformats.org/drawingml/2006/main">
                  <a:graphicData uri="http://schemas.microsoft.com/office/word/2010/wordprocessingShape">
                    <wps:wsp>
                      <wps:cNvSpPr txBox="1"/>
                      <wps:spPr>
                        <a:xfrm>
                          <a:off x="0" y="0"/>
                          <a:ext cx="6480175" cy="687705"/>
                        </a:xfrm>
                        <a:prstGeom prst="rect"/>
                      </wps:spPr>
                      <wps:txb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S-3</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S-3</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687705"/>
                <wp:effectExtent l="0" t="0" r="0" b="0"/>
                <wp:wrapNone/>
                <wp:docPr id="167" name="Frame167"/>
                <a:graphic xmlns:a="http://schemas.openxmlformats.org/drawingml/2006/main">
                  <a:graphicData uri="http://schemas.microsoft.com/office/word/2010/wordprocessingShape">
                    <wps:wsp>
                      <wps:cNvSpPr txBox="1"/>
                      <wps:spPr>
                        <a:xfrm>
                          <a:off x="0" y="0"/>
                          <a:ext cx="6480175" cy="687705"/>
                        </a:xfrm>
                        <a:prstGeom prst="rect"/>
                      </wps:spPr>
                      <wps:txb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S-4</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15pt;mso-wrap-distance-left:0pt;mso-wrap-distance-right:0pt;mso-wrap-distance-top:0pt;mso-wrap-distance-bottom:0pt;margin-top:0pt;mso-position-vertical:top;mso-position-vertical-relative:text;margin-left:0pt;mso-position-horizontal:left;mso-position-horizontal-relative:text">
                <v:textbox>
                  <w:txbxContent>
                    <w:tbl>
                      <w:tblPr>
                        <w:tblW w:w="4481" w:type="dxa"/>
                        <w:jc w:val="left"/>
                        <w:tblInd w:w="0" w:type="dxa"/>
                        <w:tblCellMar>
                          <w:top w:w="28" w:type="dxa"/>
                          <w:left w:w="28" w:type="dxa"/>
                          <w:bottom w:w="28" w:type="dxa"/>
                          <w:right w:w="28" w:type="dxa"/>
                        </w:tblCellMar>
                      </w:tblPr>
                      <w:tblGrid>
                        <w:gridCol w:w="124"/>
                        <w:gridCol w:w="109"/>
                        <w:gridCol w:w="109"/>
                        <w:gridCol w:w="145"/>
                        <w:gridCol w:w="145"/>
                        <w:gridCol w:w="145"/>
                        <w:gridCol w:w="1082"/>
                        <w:gridCol w:w="1082"/>
                        <w:gridCol w:w="15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S-4</w:t>
                            </w:r>
                          </w:p>
                        </w:tc>
                        <w:tc>
                          <w:tcPr>
                            <w:tcW w:w="37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Receivables Financing Agreement (Integra)</w:t>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Loan Request</w:t>
      </w:r>
    </w:p>
    <w:p>
      <w:pPr>
        <w:pStyle w:val="TextBody"/>
        <w:spacing w:lineRule="auto" w:line="240"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[Letterhead of Borrower]</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[Date]</w:t>
        <w:br/>
        <w:br/>
        <w:t>[Administrative Agent]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[Group Agents]</w:t>
      </w:r>
    </w:p>
    <w:p>
      <w:pPr>
        <w:pStyle w:val="TextBody"/>
        <w:spacing w:lineRule="auto" w:line="240" w:before="0" w:after="24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Re:    Loan Request</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40" w:before="0" w:after="240"/>
        <w:ind w:left="0" w:right="0" w:firstLine="720"/>
        <w:jc w:val="both"/>
        <w:rPr/>
      </w:pPr>
      <w:r>
        <w:rPr>
          <w:rFonts w:ascii="Times New Roman;sans-serif" w:hAnsi="Times New Roman;sans-serif"/>
          <w:b w:val="false"/>
          <w:color w:val="000000"/>
          <w:sz w:val="24"/>
        </w:rPr>
        <w:t>Reference is hereby made to that certain Receivables Financing Agreement, dated as of December 21, 2018, by and among Integra Receivables LLC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Integra LifeSciences Sales LLC,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the Lenders party thereto, the Group Agents party thereto, PNC Bank, National Association,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PNC Capital Markets LLC, as Structuring Agent (the “</w:t>
      </w:r>
      <w:r>
        <w:rPr>
          <w:rFonts w:ascii="Times New Roman;sans-serif" w:hAnsi="Times New Roman;sans-serif"/>
          <w:b w:val="false"/>
          <w:color w:val="000000"/>
          <w:sz w:val="24"/>
          <w:u w:val="single"/>
        </w:rPr>
        <w:t>Structuring Agent</w:t>
      </w:r>
      <w:r>
        <w:rPr>
          <w:color w:val="000000"/>
        </w:rPr>
        <w:t>”</w:t>
      </w:r>
      <w:r>
        <w:rPr>
          <w:rFonts w:ascii="Times New Roman;sans-serif" w:hAnsi="Times New Roman;sans-serif"/>
          <w:b w:val="false"/>
          <w:color w:val="000000"/>
          <w:sz w:val="24"/>
        </w:rPr>
        <w:t>) (as amended, supplemented or otherwise modified from time to time,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Capitalized terms used in this Loan Request and not otherwise defined herein shall have the meanings assigned thereto in the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This letter constitutes a Loan Request pursuant to </w:t>
      </w:r>
      <w:r>
        <w:rPr>
          <w:rFonts w:ascii="Times New Roman;sans-serif" w:hAnsi="Times New Roman;sans-serif"/>
          <w:b w:val="false"/>
          <w:color w:val="000000"/>
          <w:sz w:val="24"/>
          <w:u w:val="single"/>
        </w:rPr>
        <w:t>Section 2.02(a)</w:t>
      </w:r>
      <w:r>
        <w:rPr>
          <w:color w:val="000000"/>
        </w:rPr>
        <w:t xml:space="preserve"> </w:t>
      </w:r>
      <w:r>
        <w:rPr>
          <w:rFonts w:ascii="Times New Roman;sans-serif" w:hAnsi="Times New Roman;sans-serif"/>
          <w:b w:val="false"/>
          <w:color w:val="000000"/>
          <w:sz w:val="24"/>
        </w:rPr>
        <w:t>of the Agreement. The Borrower hereby request a Loan in the amount of [$_______] to be made on [_____, 20__] (of which $[___] will be funded by the PNC Group [and $[___] will be funded by the [___] Group]. The proceeds of such Loan should be deposited to [Account number], at [Name, Address and ABA Number of Bank]. After giving effect to such Loan, the Aggregate Capital will be [$_______].</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represents and warrants as of the date hereof, and after giving effect to such Credit Extension, as follows: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(1)the representations and warranties of the Borrower and the Servicer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of the Agreement are true and correct in all material respects (unless such representations and warranties contain a materiality qualifier, in which case such representations and warranties shall be true and correct as made) on and as of the date of such Credit Extension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(2)no Event of Default or Unmatured Event of Default has occurred and is continuing, and no Event of Default or Unmatured Event of Default would result from such Credit Extension;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(3)no Borrowing Base Deficit exists or would exist after giving effect to such Credit Extension;</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Aggregate Capital will not exceed the Facility Limit;</w:t>
      </w:r>
      <w:r>
        <w:br w:type="page"/>
      </w:r>
    </w:p>
    <w:p>
      <w:pPr>
        <w:pStyle w:val="TextBody"/>
        <w:spacing w:before="0" w:after="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70230"/>
                <wp:effectExtent l="0" t="0" r="0" b="0"/>
                <wp:wrapNone/>
                <wp:docPr id="168" name="Frame168"/>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0pt;mso-position-horizontal:left;mso-position-horizontal-relative:text">
                <v:textbo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(5)the sum of (A) the Capital of the applicable Lender,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(B) the aggregate outstanding Capital of each other Lender in its Group, would not exceed the Group Commitment of such Lender’s Group;</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(6)if the applicable Lender is a Committed Lender, the aggregate outstanding Capital of such Committed Lender would not exceed its Commitment; </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(7)the Aggregate Capital would not exceed the Borrowing Base at such time;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(8)the Termination Date has not occurred.</w:t>
      </w:r>
    </w:p>
    <w:p>
      <w:pPr>
        <w:pStyle w:val="TextBody"/>
        <w:spacing w:before="0" w:after="24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70230"/>
                <wp:effectExtent l="0" t="0" r="0" b="0"/>
                <wp:wrapNone/>
                <wp:docPr id="169" name="Frame169"/>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0pt;mso-position-horizontal:left;mso-position-horizontal-relative:text">
                <v:textbo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letter by its duly authorized officer as of the date first above written.</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lineRule="auto" w:line="240" w:before="0" w:after="600"/>
        <w:rPr>
          <w:rFonts w:ascii="Times New Roman;sans-serif" w:hAnsi="Times New Roman;sans-serif"/>
          <w:b/>
          <w:color w:val="000000"/>
          <w:sz w:val="24"/>
        </w:rPr>
      </w:pPr>
      <w:r>
        <w:rPr>
          <w:rFonts w:ascii="Times New Roman;sans-serif" w:hAnsi="Times New Roman;sans-serif"/>
          <w:b/>
          <w:color w:val="000000"/>
          <w:sz w:val="24"/>
        </w:rPr>
        <w:t>INTEGRA RECEIVABLES LLC</w:t>
      </w:r>
    </w:p>
    <w:p>
      <w:pPr>
        <w:pStyle w:val="TextBody"/>
        <w:spacing w:lineRule="auto" w:line="240" w:before="0" w:after="1440"/>
        <w:rPr>
          <w:rFonts w:ascii="Times New Roman;sans-serif" w:hAnsi="Times New Roman;sans-serif"/>
          <w:b w:val="false"/>
          <w:color w:val="000000"/>
          <w:sz w:val="24"/>
        </w:rPr>
      </w:pPr>
      <w:r>
        <w:rPr>
          <w:rFonts w:ascii="Times New Roman;sans-serif" w:hAnsi="Times New Roman;sans-serif"/>
          <w:b w:val="false"/>
          <w:color w:val="000000"/>
          <w:sz w:val="24"/>
        </w:rPr>
        <w:t>By:     </w:t>
        <w:br/>
        <w:t>Name:     </w:t>
        <w:br/>
        <w:t>Title: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70230"/>
                <wp:effectExtent l="0" t="0" r="0" b="0"/>
                <wp:wrapNone/>
                <wp:docPr id="170" name="Frame170"/>
                <a:graphic xmlns:a="http://schemas.openxmlformats.org/drawingml/2006/main">
                  <a:graphicData uri="http://schemas.microsoft.com/office/word/2010/wordprocessingShape">
                    <wps:wsp>
                      <wps:cNvSpPr txBox="1"/>
                      <wps:spPr>
                        <a:xfrm>
                          <a:off x="0" y="0"/>
                          <a:ext cx="6480175" cy="570230"/>
                        </a:xfrm>
                        <a:prstGeom prst="rect"/>
                      </wps:spPr>
                      <wps:txb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9pt;mso-wrap-distance-left:0pt;mso-wrap-distance-right:0pt;mso-wrap-distance-top:0pt;mso-wrap-distance-bottom:0pt;margin-top:0pt;mso-position-vertical:top;mso-position-vertical-relative:text;margin-left:0pt;mso-position-horizontal:left;mso-position-horizontal-relative:text">
                <v:textbox>
                  <w:txbxContent>
                    <w:tbl>
                      <w:tblPr>
                        <w:tblW w:w="1943" w:type="dxa"/>
                        <w:jc w:val="left"/>
                        <w:tblInd w:w="0" w:type="dxa"/>
                        <w:tblCellMar>
                          <w:top w:w="28" w:type="dxa"/>
                          <w:left w:w="28" w:type="dxa"/>
                          <w:bottom w:w="28" w:type="dxa"/>
                          <w:right w:w="28" w:type="dxa"/>
                        </w:tblCellMar>
                      </w:tblPr>
                      <w:tblGrid>
                        <w:gridCol w:w="124"/>
                        <w:gridCol w:w="109"/>
                        <w:gridCol w:w="109"/>
                        <w:gridCol w:w="409"/>
                        <w:gridCol w:w="409"/>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A-3</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B</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Reduction Notice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[Letterhead of Borrower]</w:t>
      </w:r>
    </w:p>
    <w:p>
      <w:pPr>
        <w:pStyle w:val="TextBody"/>
        <w:spacing w:lineRule="auto" w:line="280" w:before="280" w:after="283"/>
        <w:jc w:val="both"/>
        <w:rPr>
          <w:rFonts w:ascii="Times New Roman;sans-serif" w:hAnsi="Times New Roman;sans-serif"/>
          <w:b/>
          <w:color w:val="000000"/>
          <w:sz w:val="24"/>
        </w:rPr>
      </w:pPr>
      <w:r>
        <w:rPr>
          <w:rFonts w:ascii="Times New Roman;sans-serif" w:hAnsi="Times New Roman;sans-serif"/>
          <w:b/>
          <w:color w:val="000000"/>
          <w:sz w:val="24"/>
        </w:rPr>
        <w:t>[Date]</w:t>
      </w:r>
    </w:p>
    <w:p>
      <w:pPr>
        <w:pStyle w:val="TextBody"/>
        <w:spacing w:lineRule="auto" w:line="280" w:before="280" w:after="283"/>
        <w:jc w:val="both"/>
        <w:rPr>
          <w:rFonts w:ascii="Times New Roman;sans-serif" w:hAnsi="Times New Roman;sans-serif"/>
          <w:b/>
          <w:color w:val="000000"/>
          <w:sz w:val="24"/>
        </w:rPr>
      </w:pPr>
      <w:r>
        <w:rPr>
          <w:rFonts w:ascii="Times New Roman;sans-serif" w:hAnsi="Times New Roman;sans-serif"/>
          <w:b/>
          <w:color w:val="000000"/>
          <w:sz w:val="24"/>
        </w:rPr>
        <w:t>[Administrative Agent]</w:t>
      </w:r>
    </w:p>
    <w:p>
      <w:pPr>
        <w:pStyle w:val="TextBody"/>
        <w:spacing w:lineRule="auto" w:line="280" w:before="280" w:after="283"/>
        <w:jc w:val="both"/>
        <w:rPr>
          <w:rFonts w:ascii="Times New Roman;sans-serif" w:hAnsi="Times New Roman;sans-serif"/>
          <w:b/>
          <w:color w:val="000000"/>
          <w:sz w:val="24"/>
        </w:rPr>
      </w:pPr>
      <w:r>
        <w:rPr>
          <w:rFonts w:ascii="Times New Roman;sans-serif" w:hAnsi="Times New Roman;sans-serif"/>
          <w:b/>
          <w:color w:val="000000"/>
          <w:sz w:val="24"/>
        </w:rPr>
        <w:t>[Group Agents]</w:t>
      </w:r>
    </w:p>
    <w:p>
      <w:pPr>
        <w:pStyle w:val="TextBody"/>
        <w:spacing w:lineRule="auto" w:line="280" w:before="400" w:after="480"/>
        <w:rPr>
          <w:rFonts w:ascii="Times New Roman;sans-serif" w:hAnsi="Times New Roman;sans-serif"/>
          <w:b w:val="false"/>
          <w:color w:val="000000"/>
          <w:sz w:val="24"/>
        </w:rPr>
      </w:pPr>
      <w:r>
        <w:rPr>
          <w:rFonts w:ascii="Times New Roman;sans-serif" w:hAnsi="Times New Roman;sans-serif"/>
          <w:b w:val="false"/>
          <w:color w:val="000000"/>
          <w:sz w:val="24"/>
        </w:rPr>
        <w:t>Re:    Reduction Notice</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Reference is hereby made to that certain Receivables Financing Agreement, dated as of </w:t>
      </w:r>
      <w:r>
        <w:rPr>
          <w:rFonts w:ascii="Times;sans-serif" w:hAnsi="Times;sans-serif"/>
          <w:b w:val="false"/>
          <w:color w:val="000000"/>
          <w:sz w:val="24"/>
        </w:rPr>
        <w:t xml:space="preserve">December 21, 2018, by and </w:t>
      </w:r>
      <w:r>
        <w:rPr>
          <w:rFonts w:ascii="Times New Roman;sans-serif" w:hAnsi="Times New Roman;sans-serif"/>
          <w:b w:val="false"/>
          <w:color w:val="000000"/>
          <w:sz w:val="24"/>
        </w:rPr>
        <w:t>among Integra Receivables LLC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xml:space="preserve">), </w:t>
      </w:r>
      <w:r>
        <w:rPr>
          <w:rFonts w:ascii="Times;sans-serif" w:hAnsi="Times;sans-serif"/>
          <w:b w:val="false"/>
          <w:color w:val="000000"/>
          <w:sz w:val="24"/>
        </w:rPr>
        <w:t>Integra LifeSciences Sales LLC</w:t>
      </w:r>
      <w:r>
        <w:rPr>
          <w:rFonts w:ascii="Times New Roman;sans-serif" w:hAnsi="Times New Roman;sans-serif"/>
          <w:b w:val="false"/>
          <w:color w:val="000000"/>
          <w:sz w:val="24"/>
        </w:rPr>
        <w:t>,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the Lenders party thereto, the Group Agents party thereto, PNC Bank, National Association,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xml:space="preserve">) </w:t>
      </w:r>
      <w:r>
        <w:rPr>
          <w:rFonts w:ascii="Times;sans-serif" w:hAnsi="Times;sans-serif"/>
          <w:b w:val="false"/>
          <w:color w:val="000000"/>
          <w:sz w:val="24"/>
        </w:rPr>
        <w:t>and PNC Capital Markets LLC, as Structuring Agent (</w:t>
      </w:r>
      <w:r>
        <w:rPr>
          <w:rFonts w:ascii="Times New Roman;sans-serif" w:hAnsi="Times New Roman;sans-serif"/>
          <w:b w:val="false"/>
          <w:color w:val="000000"/>
          <w:sz w:val="24"/>
        </w:rPr>
        <w:t>the “</w:t>
      </w:r>
      <w:r>
        <w:rPr>
          <w:rFonts w:ascii="Times;sans-serif" w:hAnsi="Times;sans-serif"/>
          <w:b w:val="false"/>
          <w:color w:val="000000"/>
          <w:sz w:val="24"/>
          <w:u w:val="single"/>
        </w:rPr>
        <w:t>Structuring</w:t>
      </w:r>
      <w:r>
        <w:rPr>
          <w:color w:val="000000"/>
          <w:u w:val="single"/>
        </w:rPr>
        <w:t xml:space="preserve"> </w:t>
      </w:r>
      <w:r>
        <w:rPr>
          <w:rFonts w:ascii="Times New Roman;sans-serif" w:hAnsi="Times New Roman;sans-serif"/>
          <w:b w:val="false"/>
          <w:color w:val="000000"/>
          <w:sz w:val="24"/>
          <w:u w:val="single"/>
        </w:rPr>
        <w:t>Agent</w:t>
      </w:r>
      <w:r>
        <w:rPr>
          <w:color w:val="000000"/>
        </w:rPr>
        <w:t>”</w:t>
      </w:r>
      <w:r>
        <w:rPr>
          <w:rFonts w:ascii="Times New Roman;sans-serif" w:hAnsi="Times New Roman;sans-serif"/>
          <w:b w:val="false"/>
          <w:color w:val="000000"/>
          <w:sz w:val="24"/>
        </w:rPr>
        <w:t>) (as amended, supplemented or otherwise modified from time to time,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Capitalized terms used in this Reduction Notice and not otherwise defined herein shall have the meanings assigned thereto in the Agreement.</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This letter constitutes a Reduction Notice pursuant to </w:t>
      </w:r>
      <w:r>
        <w:rPr>
          <w:rFonts w:ascii="Times New Roman;sans-serif" w:hAnsi="Times New Roman;sans-serif"/>
          <w:b w:val="false"/>
          <w:color w:val="000000"/>
          <w:sz w:val="24"/>
          <w:u w:val="single"/>
        </w:rPr>
        <w:t>Section 2.02(d)</w:t>
      </w:r>
      <w:r>
        <w:rPr>
          <w:color w:val="000000"/>
        </w:rPr>
        <w:t xml:space="preserve"> </w:t>
      </w:r>
      <w:r>
        <w:rPr>
          <w:rFonts w:ascii="Times New Roman;sans-serif" w:hAnsi="Times New Roman;sans-serif"/>
          <w:b w:val="false"/>
          <w:color w:val="000000"/>
          <w:sz w:val="24"/>
        </w:rPr>
        <w:t xml:space="preserve">of the Agreement. The Borrower hereby notifies the Administrative Agent and the Lenders that it shall prepay the outstanding Capital of the Lenders in the amount of </w:t>
      </w:r>
      <w:r>
        <w:rPr>
          <w:rFonts w:ascii="Times New Roman;sans-serif" w:hAnsi="Times New Roman;sans-serif"/>
          <w:b/>
          <w:color w:val="000000"/>
          <w:sz w:val="24"/>
        </w:rPr>
        <w:t>[$_______]</w:t>
      </w:r>
      <w:r>
        <w:rPr>
          <w:color w:val="000000"/>
        </w:rPr>
        <w:t xml:space="preserve"> </w:t>
      </w:r>
      <w:r>
        <w:rPr>
          <w:rFonts w:ascii="Times New Roman;sans-serif" w:hAnsi="Times New Roman;sans-serif"/>
          <w:b w:val="false"/>
          <w:color w:val="000000"/>
          <w:sz w:val="24"/>
        </w:rPr>
        <w:t xml:space="preserve">to be made on </w:t>
      </w:r>
      <w:r>
        <w:rPr>
          <w:rFonts w:ascii="Times New Roman;sans-serif" w:hAnsi="Times New Roman;sans-serif"/>
          <w:b/>
          <w:color w:val="000000"/>
          <w:sz w:val="24"/>
        </w:rPr>
        <w:t xml:space="preserve">[_____, 201_]. </w:t>
      </w:r>
      <w:r>
        <w:rPr>
          <w:rFonts w:ascii="Times New Roman;sans-serif" w:hAnsi="Times New Roman;sans-serif"/>
          <w:b w:val="false"/>
          <w:color w:val="000000"/>
          <w:sz w:val="24"/>
        </w:rPr>
        <w:t>After giving effect to such prepayment, the Aggregate Capital will be</w:t>
      </w:r>
      <w:r>
        <w:rPr>
          <w:color w:val="000000"/>
        </w:rPr>
        <w:t xml:space="preserve"> </w:t>
      </w:r>
      <w:r>
        <w:rPr>
          <w:rFonts w:ascii="Times New Roman;sans-serif" w:hAnsi="Times New Roman;sans-serif"/>
          <w:b/>
          <w:color w:val="000000"/>
          <w:sz w:val="24"/>
        </w:rPr>
        <w:t>[$_______]</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represents and warrants as of the date hereof, and after giving effect to such reduction, as follows: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(1)the representations and warranties of the Borrower and the Servicer contained in </w:t>
      </w:r>
      <w:r>
        <w:rPr>
          <w:rFonts w:ascii="Times New Roman;sans-serif" w:hAnsi="Times New Roman;sans-serif"/>
          <w:b w:val="false"/>
          <w:color w:val="000000"/>
          <w:sz w:val="24"/>
          <w:u w:val="single"/>
        </w:rPr>
        <w:t>Sections 6.01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6.02</w:t>
      </w:r>
      <w:r>
        <w:rPr>
          <w:color w:val="000000"/>
        </w:rPr>
        <w:t xml:space="preserve"> </w:t>
      </w:r>
      <w:r>
        <w:rPr>
          <w:rFonts w:ascii="Times New Roman;sans-serif" w:hAnsi="Times New Roman;sans-serif"/>
          <w:b w:val="false"/>
          <w:color w:val="000000"/>
          <w:sz w:val="24"/>
        </w:rPr>
        <w:t>of the Agreement are true and correct in all material respects (unless such representations and warranties contain a materiality qualifier, in which case such representations and warranties shall be true and correct as made) on and as of the date of such prepayment as though made on and as of such date unless such representations and warranties by their terms refer to an earlier date, in which case they shall be true and correct in all material respects (unless such representations and warranties contain a materiality qualifier, in which case such representations and warranties shall be true and correct as made) on and as of such earlier date;</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(2)no Event of Default or Unmatured Event of Default has occurred and is continuing, and no Event of Default or Unmatured Event of Default would result from such prepayment;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(3)no Borrowing Base Deficit exists or would exist after giving effect to such prepayment; </w:t>
      </w:r>
      <w:r>
        <w:br w:type="page"/>
      </w:r>
    </w:p>
    <w:p>
      <w:pPr>
        <w:pStyle w:val="TextBody"/>
        <w:spacing w:before="0" w:after="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92100"/>
                <wp:effectExtent l="0" t="0" r="0" b="0"/>
                <wp:wrapNone/>
                <wp:docPr id="171" name="Frame17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(4)the Aggregate Capital would not equal an amount less than the Minimum Funding Threshold; and</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(5)the Termination Date has not occurred.</w:t>
      </w:r>
    </w:p>
    <w:p>
      <w:pPr>
        <w:pStyle w:val="TextBody"/>
        <w:spacing w:before="28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92100"/>
                <wp:effectExtent l="0" t="0" r="0" b="0"/>
                <wp:wrapNone/>
                <wp:docPr id="172" name="Frame17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8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undersigned has executed this letter by its duly authorized officer as of the date first above written.</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lineRule="auto" w:line="240" w:before="0" w:after="600"/>
        <w:rPr>
          <w:rFonts w:ascii="Times New Roman;sans-serif" w:hAnsi="Times New Roman;sans-serif"/>
          <w:b/>
          <w:color w:val="000000"/>
          <w:sz w:val="24"/>
        </w:rPr>
      </w:pPr>
      <w:r>
        <w:rPr>
          <w:rFonts w:ascii="Times New Roman;sans-serif" w:hAnsi="Times New Roman;sans-serif"/>
          <w:b/>
          <w:color w:val="000000"/>
          <w:sz w:val="24"/>
        </w:rPr>
        <w:t>INTEGRA RECEIVABLES LLC</w:t>
      </w:r>
    </w:p>
    <w:p>
      <w:pPr>
        <w:pStyle w:val="TextBody"/>
        <w:spacing w:lineRule="auto" w:line="240" w:before="0" w:after="1440"/>
        <w:rPr>
          <w:rFonts w:ascii="Times New Roman;sans-serif" w:hAnsi="Times New Roman;sans-serif"/>
          <w:b w:val="false"/>
          <w:color w:val="000000"/>
          <w:sz w:val="24"/>
        </w:rPr>
      </w:pPr>
      <w:r>
        <w:rPr>
          <w:rFonts w:ascii="Times New Roman;sans-serif" w:hAnsi="Times New Roman;sans-serif"/>
          <w:b w:val="false"/>
          <w:color w:val="000000"/>
          <w:sz w:val="24"/>
        </w:rPr>
        <w:t>By:     </w:t>
        <w:br/>
        <w:t>Name:     </w:t>
        <w:br/>
        <w:t>Title:     </w:t>
      </w:r>
    </w:p>
    <w:p>
      <w:pPr>
        <w:pStyle w:val="TextBody"/>
        <w:spacing w:before="0" w:after="1200"/>
        <w:rPr/>
      </w:pPr>
      <w:r>
        <w:rPr/>
      </w:r>
    </w:p>
    <w:p>
      <w:pPr>
        <w:pStyle w:val="TextBody"/>
        <w:spacing w:before="0" w:after="1200"/>
        <w:ind w:left="0" w:right="0" w:firstLine="4845"/>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92100"/>
                <wp:effectExtent l="0" t="0" r="0" b="0"/>
                <wp:wrapNone/>
                <wp:docPr id="173" name="Frame17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B-3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C</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Assignment and Acceptance Agreement</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 ___________, 20__</w:t>
      </w:r>
    </w:p>
    <w:p>
      <w:pPr>
        <w:pStyle w:val="TextBody"/>
        <w:spacing w:lineRule="auto" w:line="240" w:before="0" w:after="240"/>
        <w:rPr/>
      </w:pPr>
      <w:r>
        <w:rPr>
          <w:rFonts w:ascii="Times New Roman;sans-serif" w:hAnsi="Times New Roman;sans-serif"/>
          <w:b w:val="false"/>
          <w:color w:val="000000"/>
          <w:sz w:val="24"/>
          <w:u w:val="single"/>
        </w:rPr>
        <w:t>Section 1</w:t>
      </w:r>
      <w:r>
        <w:rPr>
          <w:rFonts w:ascii="Times New Roman;sans-serif" w:hAnsi="Times New Roman;sans-serif"/>
          <w:b w:val="false"/>
          <w:color w:val="000000"/>
          <w:sz w:val="24"/>
        </w:rPr>
        <w:t>.</w:t>
      </w:r>
    </w:p>
    <w:tbl>
      <w:tblPr>
        <w:tblW w:w="6600" w:type="dxa"/>
        <w:jc w:val="left"/>
        <w:tblInd w:w="0" w:type="dxa"/>
        <w:tblCellMar>
          <w:top w:w="28" w:type="dxa"/>
          <w:left w:w="28" w:type="dxa"/>
          <w:bottom w:w="28" w:type="dxa"/>
          <w:right w:w="28" w:type="dxa"/>
        </w:tblCellMar>
      </w:tblPr>
      <w:tblGrid>
        <w:gridCol w:w="2020"/>
        <w:gridCol w:w="1777"/>
        <w:gridCol w:w="1783"/>
        <w:gridCol w:w="299"/>
        <w:gridCol w:w="299"/>
        <w:gridCol w:w="422"/>
      </w:tblGrid>
      <w:tr>
        <w:trPr/>
        <w:tc>
          <w:tcPr>
            <w:tcW w:w="2020"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Commitment assigned:</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Assignor’s remaining Commitment:</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 allocable to Commitment assigned:</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Assignor’s remaining Capital:</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(if any) allocable to Capital assigned:</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r>
        <w:trPr/>
        <w:tc>
          <w:tcPr>
            <w:tcW w:w="55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Interest (if any) allocable to Assignor’s remaining Capital:</w:t>
            </w:r>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$[_____]</w:t>
            </w:r>
          </w:p>
        </w:tc>
      </w:tr>
    </w:tbl>
    <w:p>
      <w:pPr>
        <w:pStyle w:val="TextBody"/>
        <w:spacing w:before="0" w:after="0"/>
        <w:rPr/>
      </w:pPr>
      <w:r>
        <w:rPr/>
      </w:r>
    </w:p>
    <w:p>
      <w:pPr>
        <w:pStyle w:val="TextBody"/>
        <w:spacing w:lineRule="auto" w:line="240" w:before="0" w:after="240"/>
        <w:rPr/>
      </w:pPr>
      <w:r>
        <w:rPr>
          <w:rFonts w:ascii="Times New Roman;sans-serif" w:hAnsi="Times New Roman;sans-serif"/>
          <w:b w:val="false"/>
          <w:color w:val="000000"/>
          <w:sz w:val="24"/>
          <w:u w:val="single"/>
        </w:rPr>
        <w:t>Section 2</w:t>
      </w:r>
      <w:r>
        <w:rPr>
          <w:rFonts w:ascii="Times New Roman;sans-serif" w:hAnsi="Times New Roman;sans-serif"/>
          <w:b w:val="false"/>
          <w:color w:val="000000"/>
          <w:sz w:val="24"/>
        </w:rPr>
        <w:t>.</w:t>
      </w:r>
    </w:p>
    <w:p>
      <w:pPr>
        <w:pStyle w:val="TextBody"/>
        <w:spacing w:lineRule="auto" w:line="240" w:before="0" w:after="240"/>
        <w:ind w:left="0" w:right="0" w:firstLine="569"/>
        <w:rPr>
          <w:rFonts w:ascii="Times New Roman;sans-serif" w:hAnsi="Times New Roman;sans-serif"/>
          <w:b w:val="false"/>
          <w:color w:val="000000"/>
          <w:sz w:val="24"/>
        </w:rPr>
      </w:pPr>
      <w:r>
        <w:rPr>
          <w:rFonts w:ascii="Times New Roman;sans-serif" w:hAnsi="Times New Roman;sans-serif"/>
          <w:b w:val="false"/>
          <w:color w:val="000000"/>
          <w:sz w:val="24"/>
        </w:rPr>
        <w:t>Effective Date of this Assignment and Acceptance Agreement: [__________]</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Upon execution and delivery of this Assignment and Acceptance Agreement by the assignee and the assignor and the satisfaction of the other conditions to assignment specified in </w:t>
      </w:r>
      <w:r>
        <w:rPr>
          <w:rFonts w:ascii="Times New Roman;sans-serif" w:hAnsi="Times New Roman;sans-serif"/>
          <w:b w:val="false"/>
          <w:color w:val="000000"/>
          <w:sz w:val="24"/>
          <w:u w:val="single"/>
        </w:rPr>
        <w:t>Section 13.03(b)</w:t>
      </w:r>
      <w:r>
        <w:rPr>
          <w:color w:val="000000"/>
        </w:rPr>
        <w:t xml:space="preserve"> </w:t>
      </w:r>
      <w:r>
        <w:rPr>
          <w:rFonts w:ascii="Times New Roman;sans-serif" w:hAnsi="Times New Roman;sans-serif"/>
          <w:b w:val="false"/>
          <w:color w:val="000000"/>
          <w:sz w:val="24"/>
        </w:rPr>
        <w:t>of the Agreement (as defined below), from and after the effective date specified above, the assignee shall become a party to, and, to the extent of the rights and obligations thereunder being assigned to it pursuant to this Assignment and Acceptance Agreement, shall have the rights and obligations of a Committed Lender under that certain Receivables Financing Agreement, dated as of December 21, 2018, by and among Integra Receivables LLC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Integra LifeSciences Sales LLC,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the Lenders party thereto, the Group Agents party thereto, PNC Bank, National Association,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PNC Capital Markets LLC, as Structuring Agent (the “</w:t>
      </w:r>
      <w:r>
        <w:rPr>
          <w:rFonts w:ascii="Times New Roman;sans-serif" w:hAnsi="Times New Roman;sans-serif"/>
          <w:b w:val="false"/>
          <w:color w:val="000000"/>
          <w:sz w:val="24"/>
          <w:u w:val="single"/>
        </w:rPr>
        <w:t>Structuring Agent</w:t>
      </w:r>
      <w:r>
        <w:rPr>
          <w:color w:val="000000"/>
        </w:rPr>
        <w:t>”</w:t>
      </w:r>
      <w:r>
        <w:rPr>
          <w:rFonts w:ascii="Times New Roman;sans-serif" w:hAnsi="Times New Roman;sans-serif"/>
          <w:b w:val="false"/>
          <w:color w:val="000000"/>
          <w:sz w:val="24"/>
        </w:rPr>
        <w:t>) (as amended, supplemented or otherwise modified from time to time,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spacing w:before="0" w:after="48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92100"/>
                <wp:effectExtent l="0" t="0" r="0" b="0"/>
                <wp:wrapNone/>
                <wp:docPr id="174" name="Frame17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C-1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C-1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480"/>
        <w:rPr/>
      </w:pPr>
      <w:r>
        <w:rPr>
          <w:rFonts w:ascii="Times New Roman;sans-serif" w:hAnsi="Times New Roman;sans-serif"/>
          <w:b w:val="false"/>
          <w:color w:val="000000"/>
          <w:sz w:val="24"/>
        </w:rPr>
        <w:t>ASSIGNOR:     </w:t>
      </w:r>
      <w:r>
        <w:rPr>
          <w:rFonts w:ascii="Times New Roman;sans-serif" w:hAnsi="Times New Roman;sans-serif"/>
          <w:b/>
          <w:color w:val="000000"/>
          <w:sz w:val="24"/>
        </w:rPr>
        <w:t>[_________]</w:t>
      </w:r>
    </w:p>
    <w:p>
      <w:pPr>
        <w:pStyle w:val="TextBody"/>
        <w:spacing w:lineRule="auto" w:line="240" w:before="0" w:after="72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rPr>
        <w:br/>
        <w:t>Name:</w:t>
        <w:br/>
        <w:t>Title</w:t>
      </w:r>
    </w:p>
    <w:p>
      <w:pPr>
        <w:pStyle w:val="TextBody"/>
        <w:spacing w:lineRule="auto" w:line="240" w:before="0" w:after="480"/>
        <w:rPr/>
      </w:pPr>
      <w:r>
        <w:rPr>
          <w:rFonts w:ascii="Times New Roman;sans-serif" w:hAnsi="Times New Roman;sans-serif"/>
          <w:b w:val="false"/>
          <w:color w:val="000000"/>
          <w:sz w:val="24"/>
        </w:rPr>
        <w:t>ASSIGNEE:                         </w:t>
      </w:r>
      <w:r>
        <w:rPr>
          <w:rFonts w:ascii="Times New Roman;sans-serif" w:hAnsi="Times New Roman;sans-serif"/>
          <w:b/>
          <w:color w:val="000000"/>
          <w:sz w:val="24"/>
        </w:rPr>
        <w:t>[_________]</w:t>
      </w:r>
    </w:p>
    <w:p>
      <w:pPr>
        <w:pStyle w:val="TextBody"/>
        <w:spacing w:lineRule="auto" w:line="240" w:before="0" w:after="24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br/>
        <w:t>Title:</w:t>
      </w:r>
    </w:p>
    <w:p>
      <w:pPr>
        <w:pStyle w:val="TextBody"/>
        <w:spacing w:lineRule="auto" w:line="240" w:before="0" w:after="960"/>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Accepted as of date first above</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written:</w:t>
      </w:r>
    </w:p>
    <w:p>
      <w:pPr>
        <w:pStyle w:val="TextBody"/>
        <w:spacing w:lineRule="auto" w:line="240" w:before="0" w:after="0"/>
        <w:rPr/>
      </w:pPr>
      <w:r>
        <w:rPr>
          <w:rFonts w:ascii="Times New Roman;sans-serif" w:hAnsi="Times New Roman;sans-serif"/>
          <w:b/>
          <w:color w:val="000000"/>
          <w:sz w:val="24"/>
        </w:rPr>
        <w:t>PNC BANK, NATIONAL ASSOCIATION</w:t>
      </w:r>
      <w:r>
        <w:rPr>
          <w:rFonts w:ascii="Times New Roman;sans-serif" w:hAnsi="Times New Roman;sans-serif"/>
          <w:b w:val="false"/>
          <w:color w:val="000000"/>
          <w:sz w:val="24"/>
        </w:rPr>
        <w:t>,</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spacing w:lineRule="auto" w:line="240" w:before="0" w:after="60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br/>
        <w:t>Title:</w:t>
      </w:r>
    </w:p>
    <w:p>
      <w:pPr>
        <w:pStyle w:val="TextBody"/>
        <w:spacing w:lineRule="auto" w:line="240" w:before="0" w:after="0"/>
        <w:rPr/>
      </w:pPr>
      <w:r>
        <w:rPr>
          <w:rFonts w:ascii="Times New Roman;sans-serif" w:hAnsi="Times New Roman;sans-serif"/>
          <w:b/>
          <w:color w:val="000000"/>
          <w:sz w:val="24"/>
        </w:rPr>
        <w:t>INTEGRA RECEIVABLES LLC</w:t>
      </w:r>
      <w:r>
        <w:rPr>
          <w:rFonts w:ascii="Times New Roman;sans-serif" w:hAnsi="Times New Roman;sans-serif"/>
          <w:b w:val="false"/>
          <w:color w:val="000000"/>
          <w:sz w:val="24"/>
        </w:rPr>
        <w:t>,</w:t>
      </w:r>
    </w:p>
    <w:p>
      <w:pPr>
        <w:pStyle w:val="TextBody"/>
        <w:spacing w:lineRule="auto" w:line="240" w:before="0" w:after="600"/>
        <w:rPr>
          <w:rFonts w:ascii="Times New Roman;sans-serif" w:hAnsi="Times New Roman;sans-serif"/>
          <w:b w:val="false"/>
          <w:color w:val="000000"/>
          <w:sz w:val="24"/>
        </w:rPr>
      </w:pPr>
      <w:r>
        <w:rPr>
          <w:rFonts w:ascii="Times New Roman;sans-serif" w:hAnsi="Times New Roman;sans-serif"/>
          <w:b w:val="false"/>
          <w:color w:val="000000"/>
          <w:sz w:val="24"/>
        </w:rPr>
        <w:t>as Borrower</w:t>
      </w:r>
    </w:p>
    <w:p>
      <w:pPr>
        <w:pStyle w:val="TextBody"/>
        <w:spacing w:lineRule="auto" w:line="240" w:before="0" w:after="60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w:t>
        <w:br/>
        <w:t>Title:</w:t>
      </w:r>
    </w:p>
    <w:p>
      <w:pPr>
        <w:pStyle w:val="TextBody"/>
        <w:spacing w:before="0" w:after="600"/>
        <w:rPr/>
      </w:pPr>
      <w:r>
        <w:rPr/>
      </w:r>
    </w:p>
    <w:p>
      <w:pPr>
        <w:pStyle w:val="TextBody"/>
        <w:spacing w:before="0" w:after="6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Assumption Agreement</w:t>
      </w:r>
      <w:r>
        <w:br w:type="page"/>
      </w:r>
    </w:p>
    <w:p>
      <w:pPr>
        <w:pStyle w:val="TextBody"/>
        <w:spacing w:before="0" w:after="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92100"/>
                <wp:effectExtent l="0" t="0" r="0" b="0"/>
                <wp:wrapNone/>
                <wp:docPr id="175" name="Frame17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C-2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C-2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ind w:left="0" w:right="0" w:firstLine="720"/>
        <w:jc w:val="both"/>
        <w:rPr/>
      </w:pPr>
      <w:r>
        <w:rPr>
          <w:rFonts w:ascii="Times New Roman;sans-serif" w:hAnsi="Times New Roman;sans-serif"/>
          <w:b w:val="false"/>
          <w:color w:val="000000"/>
          <w:sz w:val="24"/>
        </w:rPr>
        <w:t>THIS ASSUMPTION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[______ __, ____], is among ____________________ (the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[________], as conduit lender (the “</w:t>
      </w:r>
      <w:r>
        <w:rPr>
          <w:rFonts w:ascii="Times New Roman;sans-serif" w:hAnsi="Times New Roman;sans-serif"/>
          <w:b w:val="false"/>
          <w:color w:val="000000"/>
          <w:sz w:val="24"/>
          <w:u w:val="single"/>
        </w:rPr>
        <w:t>[_____] Conduit Lender</w:t>
      </w:r>
      <w:r>
        <w:rPr>
          <w:color w:val="000000"/>
        </w:rPr>
        <w:t>”</w:t>
      </w:r>
      <w:r>
        <w:rPr>
          <w:rFonts w:ascii="Times New Roman;sans-serif" w:hAnsi="Times New Roman;sans-serif"/>
          <w:b w:val="false"/>
          <w:color w:val="000000"/>
          <w:sz w:val="24"/>
        </w:rPr>
        <w:t>), [________], as the Related Committed Lender (the “</w:t>
      </w:r>
      <w:r>
        <w:rPr>
          <w:rFonts w:ascii="Times New Roman;sans-serif" w:hAnsi="Times New Roman;sans-serif"/>
          <w:b w:val="false"/>
          <w:color w:val="000000"/>
          <w:sz w:val="24"/>
          <w:u w:val="single"/>
        </w:rPr>
        <w:t>[______] Committed Lender</w:t>
      </w:r>
      <w:r>
        <w:rPr>
          <w:color w:val="000000"/>
        </w:rPr>
        <w:t xml:space="preserve">” </w:t>
      </w:r>
      <w:r>
        <w:rPr>
          <w:rFonts w:ascii="Times New Roman;sans-serif" w:hAnsi="Times New Roman;sans-serif"/>
          <w:b w:val="false"/>
          <w:color w:val="000000"/>
          <w:sz w:val="24"/>
        </w:rPr>
        <w:t>and together with the Conduit Lender, the “</w:t>
      </w:r>
      <w:r>
        <w:rPr>
          <w:rFonts w:ascii="Times New Roman;sans-serif" w:hAnsi="Times New Roman;sans-serif"/>
          <w:b w:val="false"/>
          <w:color w:val="000000"/>
          <w:sz w:val="24"/>
          <w:u w:val="single"/>
        </w:rPr>
        <w:t>[_____] Lenders</w:t>
      </w:r>
      <w:r>
        <w:rPr>
          <w:color w:val="000000"/>
        </w:rPr>
        <w:t>”</w:t>
      </w:r>
      <w:r>
        <w:rPr>
          <w:rFonts w:ascii="Times New Roman;sans-serif" w:hAnsi="Times New Roman;sans-serif"/>
          <w:b w:val="false"/>
          <w:color w:val="000000"/>
          <w:sz w:val="24"/>
        </w:rPr>
        <w:t>), and [________], as group agent for the [_____] Lenders (the “</w:t>
      </w:r>
      <w:r>
        <w:rPr>
          <w:rFonts w:ascii="Times New Roman;sans-serif" w:hAnsi="Times New Roman;sans-serif"/>
          <w:b w:val="false"/>
          <w:color w:val="000000"/>
          <w:sz w:val="24"/>
          <w:u w:val="single"/>
        </w:rPr>
        <w:t>[______] Group Agent</w:t>
      </w:r>
      <w:r>
        <w:rPr>
          <w:color w:val="000000"/>
        </w:rPr>
        <w:t xml:space="preserve">” </w:t>
      </w:r>
      <w:r>
        <w:rPr>
          <w:rFonts w:ascii="Times New Roman;sans-serif" w:hAnsi="Times New Roman;sans-serif"/>
          <w:b w:val="false"/>
          <w:color w:val="000000"/>
          <w:sz w:val="24"/>
        </w:rPr>
        <w:t>and together with the [_____] Lenders, the “</w:t>
      </w:r>
      <w:r>
        <w:rPr>
          <w:rFonts w:ascii="Times New Roman;sans-serif" w:hAnsi="Times New Roman;sans-serif"/>
          <w:b w:val="false"/>
          <w:color w:val="000000"/>
          <w:sz w:val="24"/>
          <w:u w:val="single"/>
        </w:rPr>
        <w:t>[_______] Group</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BACKGROUND</w:t>
      </w:r>
    </w:p>
    <w:p>
      <w:pPr>
        <w:pStyle w:val="TextBody"/>
        <w:spacing w:lineRule="auto" w:line="240" w:before="0" w:after="240"/>
        <w:ind w:left="0" w:right="0" w:firstLine="720"/>
        <w:jc w:val="both"/>
        <w:rPr/>
      </w:pPr>
      <w:r>
        <w:rPr>
          <w:rFonts w:ascii="Times New Roman;sans-serif" w:hAnsi="Times New Roman;sans-serif"/>
          <w:b w:val="false"/>
          <w:color w:val="000000"/>
          <w:sz w:val="24"/>
        </w:rPr>
        <w:t>The Borrower and various others are parties to a certain Receivables Financing Agreement, dated as of December 21, 2018 (as amended through the date hereof and as the same may be amended, amended and restated, supplemented or otherwise modified from time to time, the “</w:t>
      </w:r>
      <w:r>
        <w:rPr>
          <w:rFonts w:ascii="Times New Roman;sans-serif" w:hAnsi="Times New Roman;sans-serif"/>
          <w:b w:val="false"/>
          <w:color w:val="000000"/>
          <w:sz w:val="24"/>
          <w:u w:val="single"/>
        </w:rPr>
        <w:t>Receivables Financing Agreement</w:t>
      </w:r>
      <w:r>
        <w:rPr>
          <w:color w:val="000000"/>
        </w:rPr>
        <w:t>”</w:t>
      </w:r>
      <w:r>
        <w:rPr>
          <w:rFonts w:ascii="Times New Roman;sans-serif" w:hAnsi="Times New Roman;sans-serif"/>
          <w:b w:val="false"/>
          <w:color w:val="000000"/>
          <w:sz w:val="24"/>
        </w:rPr>
        <w:t xml:space="preserve">). Capitalized terms used and not otherwise defined herein have the respective meaning assigned to such terms in the </w:t>
      </w:r>
      <w:r>
        <w:rPr>
          <w:rFonts w:ascii="Times New Roman;sans-serif" w:hAnsi="Times New Roman;sans-serif"/>
          <w:b w:val="false"/>
          <w:color w:val="000000"/>
          <w:sz w:val="24"/>
          <w:u w:val="single"/>
        </w:rPr>
        <w:t>Receivables Financing Agreement</w:t>
      </w:r>
      <w:r>
        <w:rPr>
          <w:rFonts w:ascii="Times New Roman;sans-serif" w:hAnsi="Times New Roman;sans-serif"/>
          <w:b w:val="false"/>
          <w:color w:val="000000"/>
          <w:sz w:val="24"/>
        </w:rPr>
        <w: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hereby agree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SECTION 1.    This letter constitutes an Assumption Agreement pursuant to Section</w:t>
      </w:r>
      <w:r>
        <w:rPr>
          <w:color w:val="000000"/>
          <w:u w:val="single"/>
        </w:rPr>
        <w:t xml:space="preserve"> </w:t>
      </w:r>
      <w:r>
        <w:rPr>
          <w:rFonts w:ascii="Times New Roman;sans-serif" w:hAnsi="Times New Roman;sans-serif"/>
          <w:b w:val="false"/>
          <w:color w:val="000000"/>
          <w:sz w:val="24"/>
          <w:u w:val="single"/>
        </w:rPr>
        <w:t>13.03(i)</w:t>
      </w:r>
      <w:r>
        <w:rPr>
          <w:color w:val="000000"/>
        </w:rPr>
        <w:t xml:space="preserve"> </w:t>
      </w:r>
      <w:r>
        <w:rPr>
          <w:rFonts w:ascii="Times New Roman;sans-serif" w:hAnsi="Times New Roman;sans-serif"/>
          <w:b w:val="false"/>
          <w:color w:val="000000"/>
          <w:sz w:val="24"/>
        </w:rPr>
        <w:t>of the Receivables Financing Agreement. The Borrower desires [the [_____] Lenders] [the [______] Committed Lender] to [become a Group] [increase its existing Commitment] under the Receivables Financing Agreement, and upon the terms and subject to the conditions set forth in the Receivables Financing Agreement, the [the [_____] Lenders] [the [______] Committed Lender] agree[s] to [become Lenders within a Group thereunder] [increase its Commitment to the amount set forth as its “Commitment” under the signature of such [______] Committed Lender hereto].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Borrower hereby represents and warrants to the [the [_____] Lenders] [the [______] Committed Lender] [and the [_________] Group Agent] as of the date hereof,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the representations and warranties of the Borrower contained in </w:t>
      </w:r>
      <w:r>
        <w:rPr>
          <w:rFonts w:ascii="Times New Roman;sans-serif" w:hAnsi="Times New Roman;sans-serif"/>
          <w:b w:val="false"/>
          <w:color w:val="000000"/>
          <w:sz w:val="24"/>
          <w:u w:val="single"/>
        </w:rPr>
        <w:t>Section 6.01</w:t>
      </w:r>
      <w:r>
        <w:rPr>
          <w:color w:val="000000"/>
        </w:rPr>
        <w:t xml:space="preserve"> </w:t>
      </w:r>
      <w:r>
        <w:rPr>
          <w:rFonts w:ascii="Times New Roman;sans-serif" w:hAnsi="Times New Roman;sans-serif"/>
          <w:b w:val="false"/>
          <w:color w:val="000000"/>
          <w:sz w:val="24"/>
        </w:rPr>
        <w:t>of the Receivables Financing Agreement are true and correct on and as of such date as though made on and as of such date;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no Event of Default or Unmatured Event of Default has occurred and is continuing, or would result from the assumption contemplated hereby; and</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the</w:t>
      </w:r>
      <w:r>
        <w:rPr>
          <w:color w:val="000000"/>
        </w:rPr>
        <w:t xml:space="preserve"> </w:t>
      </w:r>
      <w:r>
        <w:rPr>
          <w:rFonts w:ascii="Times New Roman;sans-serif" w:hAnsi="Times New Roman;sans-serif"/>
          <w:b w:val="false"/>
          <w:color w:val="000000"/>
          <w:sz w:val="24"/>
        </w:rPr>
        <w:t>Termination Date shall not have occurred.</w:t>
      </w:r>
    </w:p>
    <w:p>
      <w:pPr>
        <w:pStyle w:val="TextBody"/>
        <w:spacing w:lineRule="auto" w:line="240" w:before="0" w:after="240"/>
        <w:ind w:left="0" w:right="0" w:firstLine="720"/>
        <w:jc w:val="both"/>
        <w:rPr/>
      </w:pPr>
      <w:r>
        <w:rPr>
          <w:rFonts w:ascii="Times New Roman;sans-serif" w:hAnsi="Times New Roman;sans-serif"/>
          <w:b w:val="false"/>
          <w:color w:val="000000"/>
          <w:sz w:val="24"/>
        </w:rPr>
        <w:t xml:space="preserve">SECTION 2.    Upon execution and delivery of this Agreement by the Borrower and [each member of the [______] Group] [the [_____] Lenders] [the [______] Committed Lender], satisfaction of the other conditions with respect to the addition of a Group specified in </w:t>
      </w:r>
      <w:r>
        <w:rPr>
          <w:rFonts w:ascii="Times New Roman;sans-serif" w:hAnsi="Times New Roman;sans-serif"/>
          <w:b w:val="false"/>
          <w:color w:val="000000"/>
          <w:sz w:val="24"/>
          <w:u w:val="single"/>
        </w:rPr>
        <w:t>Section 13.03(i)</w:t>
      </w:r>
      <w:r>
        <w:rPr>
          <w:color w:val="000000"/>
        </w:rPr>
        <w:t xml:space="preserve"> </w:t>
      </w:r>
      <w:r>
        <w:rPr>
          <w:rFonts w:ascii="Times New Roman;sans-serif" w:hAnsi="Times New Roman;sans-serif"/>
          <w:b w:val="false"/>
          <w:color w:val="000000"/>
          <w:sz w:val="24"/>
        </w:rPr>
        <w:t>of the Receivables Financing Agreement (including the written consent of the Administrative Agent and the Majority Group Agents) and receipt by the Administrative Agent of counterparts of this Agreement (whether by facsimile or otherwise) executed by each of the parties hereto, [the [_____] Lenders shall become a party to, and have the rights and obligations of Lenders under, the Receivables Financing Agreement and the “Commitment” with respect to the Committed Lenders in such Group as shall be as set forth under the signature of each such Committed Lender hereto] [the [______] Committed Lender shall increase its Commitment to the amount set forth as the “Commitment” under the signature of the [______] Committed Lender hereto].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3.    Each party hereto hereby covenants and agrees that it will not institute against, or join any other Person in instituting against, any Conduit Lender, any bankruptcy, </w:t>
      </w:r>
      <w:r>
        <w:br w:type="page"/>
      </w:r>
    </w:p>
    <w:p>
      <w:pPr>
        <w:pStyle w:val="TextBody"/>
        <w:spacing w:before="0" w:after="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92100"/>
                <wp:effectExtent l="0" t="0" r="0" b="0"/>
                <wp:wrapNone/>
                <wp:docPr id="176" name="Frame17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reorganization, arrangement, insolvency or liquidation proceeding, or other proceeding under any federal or state bankruptcy or similar law, for one year and one day after the latest maturing commercial paper notes or other senior indebtedness issued by such Conduit Lender is paid in full. The covenant contained in this paragraph shall survive any termination of the Receivables Financing Agreement.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4.    THIS AGREEMENT, INCLUDING THE RIGHTS AND DUTIES OF THE PARTIES HERETO, SHALL BE GOVERNED BY, AND CONSTRUED IN ACCORDANCE WITH, THE LAWS OF THE STATE OF NEW YORK (INCLUDING SECTIONS 5-1401 AND 5-1402 OF THE GENERAL OBLIGATIONS LAW OF THE STATE OF NEW YORK, BUT WITHOUT REGARD TO ANY OTHER CONFLICTS OF LAW PROVISIONS THEREOF). This Agreement may not be amended or supplemented except pursuant to a writing signed be each of the parties hereto and may not be waived except pursuant to a writing signed by the party to be charged. This Agreement may be executed in counterparts, and by the different parties on different counterparts, each of which shall constitute an original, but all together shall constitute one and the same agreement.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pStyle w:val="TextBody"/>
        <w:spacing w:before="0" w:after="240"/>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92100"/>
                <wp:effectExtent l="0" t="0" r="0" b="0"/>
                <wp:wrapNone/>
                <wp:docPr id="177" name="Frame17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by their duly authorized officers as of the date first above written.</w:t>
      </w:r>
    </w:p>
    <w:p>
      <w:pPr>
        <w:pStyle w:val="TextBody"/>
        <w:spacing w:lineRule="auto" w:line="240" w:before="0" w:after="0"/>
        <w:rPr/>
      </w:pPr>
      <w:r>
        <w:rPr>
          <w:rFonts w:ascii="Times New Roman;sans-serif" w:hAnsi="Times New Roman;sans-serif"/>
          <w:b w:val="false"/>
          <w:color w:val="000000"/>
          <w:sz w:val="24"/>
        </w:rPr>
        <w:t>[___________], as a Conduit Lender</w:t>
        <w:br/>
        <w:br/>
        <w:br/>
        <w:t>By: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Printed: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spacing w:lineRule="auto" w:line="240" w:before="0" w:after="0"/>
        <w:rPr/>
      </w:pPr>
      <w:r>
        <w:rPr>
          <w:rFonts w:ascii="Times New Roman;sans-serif" w:hAnsi="Times New Roman;sans-serif"/>
          <w:b w:val="false"/>
          <w:color w:val="000000"/>
          <w:sz w:val="24"/>
        </w:rPr>
        <w:t>[___________], as a Committed Lender</w:t>
        <w:br/>
        <w:br/>
        <w:t>By: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Printed: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[Commitment]</w:t>
      </w:r>
    </w:p>
    <w:p>
      <w:pPr>
        <w:pStyle w:val="TextBody"/>
        <w:spacing w:lineRule="auto" w:line="240" w:before="0" w:after="0"/>
        <w:rPr/>
      </w:pPr>
      <w:r>
        <w:rPr>
          <w:rFonts w:ascii="Times New Roman;sans-serif" w:hAnsi="Times New Roman;sans-serif"/>
          <w:b w:val="false"/>
          <w:color w:val="000000"/>
          <w:sz w:val="24"/>
        </w:rPr>
        <w:t>[_____________], as Group Agent for [_________]</w:t>
        <w:br/>
        <w:br/>
        <w:t>By: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Name Printed:    </w:t>
      </w:r>
      <w:r>
        <w:rPr>
          <w:rFonts w:ascii="Times New Roman;sans-serif" w:hAnsi="Times New Roman;sans-serif"/>
          <w:b w:val="false"/>
          <w:color w:val="000000"/>
          <w:sz w:val="24"/>
          <w:u w:val="single"/>
        </w:rPr>
        <w:br/>
      </w:r>
      <w:r>
        <w:rPr>
          <w:rFonts w:ascii="Times New Roman;sans-serif" w:hAnsi="Times New Roman;sans-serif"/>
          <w:b w:val="false"/>
          <w:color w:val="000000"/>
          <w:sz w:val="24"/>
        </w:rPr>
        <w:t>Title: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spacing w:before="0" w:after="600"/>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92100"/>
                <wp:effectExtent l="0" t="0" r="0" b="0"/>
                <wp:wrapNone/>
                <wp:docPr id="178" name="Frame17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600"/>
        <w:rPr/>
      </w:pPr>
      <w:r>
        <w:rPr>
          <w:rFonts w:ascii="Times New Roman;sans-serif" w:hAnsi="Times New Roman;sans-serif"/>
          <w:b/>
          <w:color w:val="000000"/>
          <w:sz w:val="24"/>
        </w:rPr>
        <w:t>INTEGRA RECEIVABLES LLC</w:t>
      </w:r>
      <w:r>
        <w:rPr>
          <w:rFonts w:ascii="Times New Roman;sans-serif" w:hAnsi="Times New Roman;sans-serif"/>
          <w:b w:val="false"/>
          <w:color w:val="000000"/>
          <w:sz w:val="24"/>
        </w:rPr>
        <w:t>,</w:t>
        <w:br/>
        <w:t>as Borrower</w:t>
      </w:r>
    </w:p>
    <w:p>
      <w:pPr>
        <w:pStyle w:val="TextBody"/>
        <w:spacing w:lineRule="auto" w:line="240" w:before="0" w:after="2880"/>
        <w:rPr>
          <w:rFonts w:ascii="Times New Roman;sans-serif" w:hAnsi="Times New Roman;sans-serif"/>
          <w:b w:val="false"/>
          <w:color w:val="000000"/>
          <w:sz w:val="24"/>
        </w:rPr>
      </w:pPr>
      <w:r>
        <w:rPr>
          <w:rFonts w:ascii="Times New Roman;sans-serif" w:hAnsi="Times New Roman;sans-serif"/>
          <w:b w:val="false"/>
          <w:color w:val="000000"/>
          <w:sz w:val="24"/>
        </w:rPr>
        <w:t>By:    </w:t>
        <w:br/>
        <w:t>Name Printed:    </w:t>
        <w:br/>
        <w:t>Title: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92100"/>
                <wp:effectExtent l="0" t="0" r="0" b="0"/>
                <wp:wrapNone/>
                <wp:docPr id="179" name="Frame17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D-4</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E</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Credit and Collection Procedures</w:t>
      </w:r>
    </w:p>
    <w:p>
      <w:pPr>
        <w:pStyle w:val="TextBody"/>
        <w:spacing w:lineRule="auto" w:line="240"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pStyle w:val="TextBody"/>
        <w:spacing w:before="0" w:after="0"/>
        <w:rPr/>
      </w:pPr>
      <w:r>
        <w:rPr/>
      </w:r>
    </w:p>
    <w:p>
      <w:pPr>
        <w:pStyle w:val="TextBody"/>
        <w:spacing w:before="0" w:after="48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92100"/>
                <wp:effectExtent l="0" t="0" r="0" b="0"/>
                <wp:wrapNone/>
                <wp:docPr id="180" name="Frame18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E-1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E-1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F</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Information Package</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92100"/>
                <wp:effectExtent l="0" t="0" r="0" b="0"/>
                <wp:wrapNone/>
                <wp:docPr id="181" name="Frame181"/>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F-1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F-1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G</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Compliance Certificate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PNC Bank, National Association, as Administrative Agent</w:t>
      </w:r>
    </w:p>
    <w:p>
      <w:pPr>
        <w:pStyle w:val="TextBody"/>
        <w:spacing w:lineRule="auto" w:line="240" w:before="0" w:after="240"/>
        <w:ind w:left="0" w:right="0" w:firstLine="1440"/>
        <w:jc w:val="both"/>
        <w:rPr/>
      </w:pPr>
      <w:r>
        <w:rPr>
          <w:rFonts w:ascii="Times New Roman;sans-serif" w:hAnsi="Times New Roman;sans-serif"/>
          <w:b w:val="false"/>
          <w:color w:val="000000"/>
          <w:sz w:val="24"/>
        </w:rPr>
        <w:t>This Compliance Certificate is furnished pursuant to that certain Receivables Financing Agreement, dated as of December 21, 2018, by and among Integra Receivables LLC</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Borrower</w:t>
      </w:r>
      <w:r>
        <w:rPr>
          <w:color w:val="000000"/>
        </w:rPr>
        <w:t>”</w:t>
      </w:r>
      <w:r>
        <w:rPr>
          <w:rFonts w:ascii="Times New Roman;sans-serif" w:hAnsi="Times New Roman;sans-serif"/>
          <w:b w:val="false"/>
          <w:color w:val="000000"/>
          <w:sz w:val="24"/>
        </w:rPr>
        <w:t>), Integra LifeSciences Sales LLC, as Servicer (the “</w:t>
      </w:r>
      <w:r>
        <w:rPr>
          <w:rFonts w:ascii="Times New Roman;sans-serif" w:hAnsi="Times New Roman;sans-serif"/>
          <w:b w:val="false"/>
          <w:color w:val="000000"/>
          <w:sz w:val="24"/>
          <w:u w:val="single"/>
        </w:rPr>
        <w:t>Servicer</w:t>
      </w:r>
      <w:r>
        <w:rPr>
          <w:color w:val="000000"/>
        </w:rPr>
        <w:t>”</w:t>
      </w:r>
      <w:r>
        <w:rPr>
          <w:rFonts w:ascii="Times New Roman;sans-serif" w:hAnsi="Times New Roman;sans-serif"/>
          <w:b w:val="false"/>
          <w:color w:val="000000"/>
          <w:sz w:val="24"/>
        </w:rPr>
        <w:t>), the Lenders party thereto, the Group Agents party thereto, PNC Bank, National Association,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 and PNC Capital Markets LLC, as Structuring Agent (the “</w:t>
      </w:r>
      <w:r>
        <w:rPr>
          <w:rFonts w:ascii="Times New Roman;sans-serif" w:hAnsi="Times New Roman;sans-serif"/>
          <w:b w:val="false"/>
          <w:color w:val="000000"/>
          <w:sz w:val="24"/>
          <w:u w:val="single"/>
        </w:rPr>
        <w:t>Structuring Agent</w:t>
      </w:r>
      <w:r>
        <w:rPr>
          <w:color w:val="000000"/>
        </w:rPr>
        <w:t>”</w:t>
      </w:r>
      <w:r>
        <w:rPr>
          <w:rFonts w:ascii="Times New Roman;sans-serif" w:hAnsi="Times New Roman;sans-serif"/>
          <w:b w:val="false"/>
          <w:color w:val="000000"/>
          <w:sz w:val="24"/>
        </w:rPr>
        <w:t>) (as amended, supplemented or otherwise modified from time to time,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Capitalized terms used herein and not otherwise defined herein shall have the meanings assigned to them in the Agreement.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UNDERSIGNED HEREBY CERTIFIES THAT: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    I am the duly elected ________________of the Servicer.</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    I have reviewed the terms of the Agreement and each of the other Transaction Documents and I have made, or have caused to be made under my supervision, a detailed review of the transactions and condition of the Borrower during the accounting period covered by the attached financial statements.</w:t>
      </w:r>
    </w:p>
    <w:p>
      <w:pPr>
        <w:pStyle w:val="TextBody"/>
        <w:spacing w:lineRule="auto" w:line="240" w:before="0" w:after="240"/>
        <w:ind w:left="0" w:right="0" w:firstLine="1440"/>
        <w:jc w:val="both"/>
        <w:rPr/>
      </w:pPr>
      <w:r>
        <w:rPr>
          <w:rFonts w:ascii="Times New Roman;sans-serif" w:hAnsi="Times New Roman;sans-serif"/>
          <w:b w:val="false"/>
          <w:color w:val="000000"/>
          <w:sz w:val="24"/>
        </w:rPr>
        <w:t xml:space="preserve">3.    The examinations described in </w:t>
      </w:r>
      <w:r>
        <w:rPr>
          <w:rFonts w:ascii="Times New Roman;sans-serif" w:hAnsi="Times New Roman;sans-serif"/>
          <w:b w:val="false"/>
          <w:color w:val="000000"/>
          <w:sz w:val="24"/>
          <w:u w:val="single"/>
        </w:rPr>
        <w:t>paragraph 2</w:t>
      </w:r>
      <w:r>
        <w:rPr>
          <w:color w:val="000000"/>
        </w:rPr>
        <w:t xml:space="preserve"> </w:t>
      </w:r>
      <w:r>
        <w:rPr>
          <w:rFonts w:ascii="Times New Roman;sans-serif" w:hAnsi="Times New Roman;sans-serif"/>
          <w:b w:val="false"/>
          <w:color w:val="000000"/>
          <w:sz w:val="24"/>
        </w:rPr>
        <w:t xml:space="preserve">above did not disclose, and I have no knowledge of, the existence of any condition or event which constitutes an Event of Default or an Unmatured Event of Default, as each such term is defined under the Agreement, during or at the end of the accounting period covered by the attached financial statements or as of the date of this Certificate[, except as set forth in </w:t>
      </w:r>
      <w:r>
        <w:rPr>
          <w:rFonts w:ascii="Times New Roman;sans-serif" w:hAnsi="Times New Roman;sans-serif"/>
          <w:b w:val="false"/>
          <w:color w:val="000000"/>
          <w:sz w:val="24"/>
          <w:u w:val="single"/>
        </w:rPr>
        <w:t>paragraph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ind w:left="0" w:right="0" w:firstLine="144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Schedule I</w:t>
      </w:r>
      <w:r>
        <w:rPr>
          <w:color w:val="000000"/>
        </w:rPr>
        <w:t xml:space="preserve"> </w:t>
      </w:r>
      <w:r>
        <w:rPr>
          <w:rFonts w:ascii="Times New Roman;sans-serif" w:hAnsi="Times New Roman;sans-serif"/>
          <w:b w:val="false"/>
          <w:color w:val="000000"/>
          <w:sz w:val="24"/>
        </w:rPr>
        <w:t xml:space="preserve">attached hereto sets forth financial statements of the Parent and its Subsidiaries for the period referenced on such </w:t>
      </w:r>
      <w:r>
        <w:rPr>
          <w:rFonts w:ascii="Times New Roman;sans-serif" w:hAnsi="Times New Roman;sans-serif"/>
          <w:b w:val="false"/>
          <w:color w:val="000000"/>
          <w:sz w:val="24"/>
          <w:u w:val="single"/>
        </w:rPr>
        <w:t>Schedule I</w:t>
      </w:r>
      <w:r>
        <w:rPr>
          <w:rFonts w:ascii="Times New Roman;sans-serif" w:hAnsi="Times New Roman;sans-serif"/>
          <w:b w:val="false"/>
          <w:color w:val="000000"/>
          <w:sz w:val="24"/>
        </w:rPr>
        <w: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[5.    Described below are the exceptions, if any, to paragraph 3 above by listing, in detail, the nature of the condition or event, the period during which it has existed and the action which Borrower has taken, is taking, or proposes to take with respect to each such condition or event:]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92100"/>
                <wp:effectExtent l="0" t="0" r="0" b="0"/>
                <wp:wrapNone/>
                <wp:docPr id="182" name="Frame182"/>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4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foregoing certifications are made and delivered this ______ day of ___________________, 20___.</w:t>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[_________]</w:t>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p>
    <w:p>
      <w:pPr>
        <w:pStyle w:val="TextBody"/>
        <w:spacing w:lineRule="auto" w:line="240" w:before="0" w:after="0"/>
        <w:rPr/>
      </w:pPr>
      <w:r>
        <w:rPr>
          <w:rFonts w:ascii="Times New Roman;sans-serif" w:hAnsi="Times New Roman;sans-serif"/>
          <w:b w:val="false"/>
          <w:color w:val="000000"/>
          <w:sz w:val="24"/>
        </w:rPr>
        <w:t>Name:</w:t>
      </w:r>
      <w:r>
        <w:rPr>
          <w:color w:val="000000"/>
          <w:u w:val="single"/>
        </w:rPr>
        <w:t>    </w:t>
      </w:r>
    </w:p>
    <w:p>
      <w:pPr>
        <w:pStyle w:val="TextBody"/>
        <w:spacing w:lineRule="auto" w:line="240" w:before="0" w:after="1680"/>
        <w:rPr/>
      </w:pPr>
      <w:r>
        <w:rPr>
          <w:rFonts w:ascii="Times New Roman;sans-serif" w:hAnsi="Times New Roman;sans-serif"/>
          <w:b w:val="false"/>
          <w:color w:val="000000"/>
          <w:sz w:val="24"/>
        </w:rPr>
        <w:t>Title:</w:t>
      </w:r>
      <w:r>
        <w:rPr>
          <w:color w:val="000000"/>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92100"/>
                <wp:effectExtent l="0" t="0" r="0" b="0"/>
                <wp:wrapNone/>
                <wp:docPr id="183" name="Frame183"/>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G-2</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 TO COMPLIANCE CERTIFICATE</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 xml:space="preserve">Schedule of Compliance as of     ___________________, 20__ with </w:t>
      </w:r>
      <w:r>
        <w:rPr>
          <w:rFonts w:ascii="Times New Roman;sans-serif" w:hAnsi="Times New Roman;sans-serif"/>
          <w:b w:val="false"/>
          <w:color w:val="000000"/>
          <w:sz w:val="24"/>
          <w:u w:val="single"/>
        </w:rPr>
        <w:t>Section 7.02(b)(i)</w:t>
      </w:r>
      <w:r>
        <w:rPr>
          <w:color w:val="000000"/>
        </w:rPr>
        <w:t xml:space="preserve"> </w:t>
      </w:r>
      <w:r>
        <w:rPr>
          <w:rFonts w:ascii="Times New Roman;sans-serif" w:hAnsi="Times New Roman;sans-serif"/>
          <w:b w:val="false"/>
          <w:color w:val="000000"/>
          <w:sz w:val="24"/>
        </w:rPr>
        <w:t>of the Agreement. Unless otherwise defined herein, the terms used in this Compliance Certificate have the meanings ascribed thereto in the Agreement.</w:t>
      </w:r>
    </w:p>
    <w:p>
      <w:pPr>
        <w:pStyle w:val="TextBody"/>
        <w:spacing w:lineRule="auto" w:line="24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schedule relates to the month ended: __________________.</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The following financial statements of the Parent and its Subsidiaries for the period ending on ______________, 20__, are attached hereto:</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Consolidated Total Leverage Ratio _____________ for the four consecutive fiscal quarter period ending: _________________.</w:t>
      </w:r>
    </w:p>
    <w:p>
      <w:pPr>
        <w:pStyle w:val="TextBody"/>
        <w:spacing w:before="0" w:after="1440"/>
        <w:ind w:left="0" w:right="0" w:firstLine="14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92100"/>
                <wp:effectExtent l="0" t="0" r="0" b="0"/>
                <wp:wrapNone/>
                <wp:docPr id="184" name="Frame184"/>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G-3</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H</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Closing Memorandum</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92100"/>
                <wp:effectExtent l="0" t="0" r="0" b="0"/>
                <wp:wrapNone/>
                <wp:docPr id="185" name="Frame185"/>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H-1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H-1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Form of Interim Report</w:t>
      </w:r>
    </w:p>
    <w:p>
      <w:pPr>
        <w:pStyle w:val="TextBody"/>
        <w:spacing w:lineRule="auto" w:line="240"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(Attached)</w:t>
      </w:r>
    </w:p>
    <w:p>
      <w:pPr>
        <w:pStyle w:val="TextBody"/>
        <w:spacing w:before="0" w:after="960"/>
        <w:jc w:val="center"/>
        <w:rPr/>
      </w:pPr>
      <w:r>
        <w:rPr/>
      </w:r>
    </w:p>
    <w:p>
      <w:pPr>
        <w:pStyle w:val="TextBody"/>
        <w:spacing w:before="0" w:after="9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292100"/>
                <wp:effectExtent l="0" t="0" r="0" b="0"/>
                <wp:wrapNone/>
                <wp:docPr id="186" name="Frame186"/>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Exhibit 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Commitments</w:t>
      </w:r>
    </w:p>
    <w:tbl>
      <w:tblPr>
        <w:tblW w:w="5669" w:type="dxa"/>
        <w:jc w:val="left"/>
        <w:tblInd w:w="0" w:type="dxa"/>
        <w:tblCellMar>
          <w:top w:w="28" w:type="dxa"/>
          <w:left w:w="28" w:type="dxa"/>
          <w:bottom w:w="28" w:type="dxa"/>
          <w:right w:w="28" w:type="dxa"/>
        </w:tblCellMar>
      </w:tblPr>
      <w:tblGrid>
        <w:gridCol w:w="494"/>
        <w:gridCol w:w="434"/>
        <w:gridCol w:w="437"/>
        <w:gridCol w:w="628"/>
        <w:gridCol w:w="628"/>
        <w:gridCol w:w="634"/>
        <w:gridCol w:w="706"/>
        <w:gridCol w:w="706"/>
        <w:gridCol w:w="1002"/>
      </w:tblGrid>
      <w:tr>
        <w:trPr/>
        <w:tc>
          <w:tcPr>
            <w:tcW w:w="49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r>
      <w:tr>
        <w:trPr/>
        <w:tc>
          <w:tcPr>
            <w:tcW w:w="1365"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PNC Group</w:t>
            </w:r>
          </w:p>
        </w:tc>
        <w:tc>
          <w:tcPr>
            <w:tcW w:w="189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14" w:type="dxa"/>
            <w:gridSpan w:val="3"/>
            <w:tcBorders>
              <w:top w:val="single" w:sz="4" w:space="0" w:color="000000"/>
              <w:right w:val="single" w:sz="4"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1365"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Party</w:t>
            </w:r>
          </w:p>
        </w:tc>
        <w:tc>
          <w:tcPr>
            <w:tcW w:w="1890"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Capacity</w:t>
            </w:r>
          </w:p>
        </w:tc>
        <w:tc>
          <w:tcPr>
            <w:tcW w:w="2414" w:type="dxa"/>
            <w:gridSpan w:val="3"/>
            <w:tcBorders>
              <w:top w:val="single" w:sz="4" w:space="0" w:color="000000"/>
              <w:left w:val="single" w:sz="4" w:space="0" w:color="000000"/>
              <w:right w:val="single" w:sz="4"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Maximum Commitment</w:t>
            </w:r>
          </w:p>
        </w:tc>
      </w:tr>
      <w:tr>
        <w:trPr/>
        <w:tc>
          <w:tcPr>
            <w:tcW w:w="1365"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PNC</w:t>
            </w:r>
          </w:p>
        </w:tc>
        <w:tc>
          <w:tcPr>
            <w:tcW w:w="1890" w:type="dxa"/>
            <w:gridSpan w:val="3"/>
            <w:tcBorders>
              <w:top w:val="single" w:sz="4" w:space="0" w:color="000000"/>
              <w:left w:val="single" w:sz="4" w:space="0" w:color="000000"/>
            </w:tcBorders>
            <w:shd w:fill="auto" w:val="clear"/>
            <w:tcMar>
              <w:top w:w="30" w:type="dxa"/>
              <w:left w:w="82"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Committed Lender</w:t>
            </w:r>
          </w:p>
        </w:tc>
        <w:tc>
          <w:tcPr>
            <w:tcW w:w="2414" w:type="dxa"/>
            <w:gridSpan w:val="3"/>
            <w:tcBorders>
              <w:top w:val="single" w:sz="4" w:space="0" w:color="000000"/>
              <w:left w:val="single" w:sz="4" w:space="0" w:color="000000"/>
              <w:right w:val="single" w:sz="4" w:space="0" w:color="000000"/>
            </w:tcBorders>
            <w:shd w:fill="auto" w:val="clear"/>
            <w:tcMar>
              <w:top w:w="30" w:type="dxa"/>
              <w:left w:w="82" w:type="dxa"/>
              <w:bottom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$150,000,000</w:t>
            </w:r>
          </w:p>
        </w:tc>
      </w:tr>
      <w:tr>
        <w:trPr/>
        <w:tc>
          <w:tcPr>
            <w:tcW w:w="1365" w:type="dxa"/>
            <w:gridSpan w:val="3"/>
            <w:tcBorders>
              <w:top w:val="single" w:sz="4" w:space="0" w:color="000000"/>
              <w:left w:val="single" w:sz="4" w:space="0" w:color="000000"/>
              <w:bottom w:val="single" w:sz="4" w:space="0" w:color="000000"/>
            </w:tcBorders>
            <w:shd w:fill="auto" w:val="clear"/>
            <w:tcMar>
              <w:top w:w="30" w:type="dxa"/>
              <w:left w:w="8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PNC</w:t>
            </w:r>
          </w:p>
        </w:tc>
        <w:tc>
          <w:tcPr>
            <w:tcW w:w="1890" w:type="dxa"/>
            <w:gridSpan w:val="3"/>
            <w:tcBorders>
              <w:top w:val="single" w:sz="4" w:space="0" w:color="000000"/>
              <w:left w:val="single" w:sz="4" w:space="0" w:color="000000"/>
              <w:bottom w:val="single" w:sz="4" w:space="0" w:color="000000"/>
            </w:tcBorders>
            <w:shd w:fill="auto" w:val="clear"/>
            <w:tcMar>
              <w:top w:w="30" w:type="dxa"/>
              <w:left w:w="82"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Group Agent</w:t>
            </w:r>
          </w:p>
        </w:tc>
        <w:tc>
          <w:tcPr>
            <w:tcW w:w="2414"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82"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w:t>
            </w:r>
          </w:p>
        </w:tc>
      </w:tr>
    </w:tbl>
    <w:p>
      <w:pPr>
        <w:pStyle w:val="TextBody"/>
        <w:spacing w:before="0" w:after="24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292100"/>
                <wp:effectExtent l="0" t="0" r="0" b="0"/>
                <wp:wrapNone/>
                <wp:docPr id="187" name="Frame187"/>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II</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Lock-Boxes, Collection Accounts and Collection Account Banks</w:t>
      </w:r>
    </w:p>
    <w:tbl>
      <w:tblPr>
        <w:tblW w:w="5835" w:type="dxa"/>
        <w:jc w:val="left"/>
        <w:tblInd w:w="0" w:type="dxa"/>
        <w:tblCellMar>
          <w:top w:w="28" w:type="dxa"/>
          <w:left w:w="28" w:type="dxa"/>
          <w:bottom w:w="28" w:type="dxa"/>
          <w:right w:w="28" w:type="dxa"/>
        </w:tblCellMar>
      </w:tblPr>
      <w:tblGrid>
        <w:gridCol w:w="918"/>
        <w:gridCol w:w="807"/>
        <w:gridCol w:w="809"/>
        <w:gridCol w:w="434"/>
        <w:gridCol w:w="434"/>
        <w:gridCol w:w="438"/>
        <w:gridCol w:w="583"/>
        <w:gridCol w:w="583"/>
        <w:gridCol w:w="829"/>
      </w:tblGrid>
      <w:tr>
        <w:trPr/>
        <w:tc>
          <w:tcPr>
            <w:tcW w:w="91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Collection Account Bank</w:t>
            </w:r>
          </w:p>
        </w:tc>
        <w:tc>
          <w:tcPr>
            <w:tcW w:w="1306"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Lock-Box</w:t>
            </w:r>
          </w:p>
        </w:tc>
        <w:tc>
          <w:tcPr>
            <w:tcW w:w="1995" w:type="dxa"/>
            <w:gridSpan w:val="3"/>
            <w:tcBorders>
              <w:top w:val="single" w:sz="4" w:space="0" w:color="000000"/>
              <w:left w:val="single" w:sz="4" w:space="0" w:color="000000"/>
              <w:right w:val="single" w:sz="4" w:space="0" w:color="000000"/>
            </w:tcBorders>
            <w:shd w:fill="auto" w:val="clear"/>
            <w:tcMar>
              <w:top w:w="30" w:type="dxa"/>
              <w:left w:w="75" w:type="dxa"/>
              <w:bottom w:w="0" w:type="dxa"/>
            </w:tcMar>
            <w:vAlign w:val="center"/>
          </w:tcPr>
          <w:p>
            <w:pPr>
              <w:pStyle w:val="TableContents"/>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Collection Account</w:t>
            </w:r>
          </w:p>
        </w:tc>
      </w:tr>
      <w:tr>
        <w:trPr/>
        <w:tc>
          <w:tcPr>
            <w:tcW w:w="2534"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Bank of America, N.A.</w:t>
            </w:r>
          </w:p>
        </w:tc>
        <w:tc>
          <w:tcPr>
            <w:tcW w:w="1306" w:type="dxa"/>
            <w:gridSpan w:val="3"/>
            <w:tcBorders>
              <w:top w:val="single" w:sz="4" w:space="0" w:color="000000"/>
              <w:left w:val="single" w:sz="4" w:space="0" w:color="000000"/>
              <w:bottom w:val="single" w:sz="4" w:space="0" w:color="000000"/>
            </w:tcBorders>
            <w:shd w:fill="auto" w:val="clear"/>
            <w:tcMar>
              <w:top w:w="30" w:type="dxa"/>
              <w:left w:w="75"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3756327238</w:t>
            </w:r>
          </w:p>
        </w:tc>
        <w:tc>
          <w:tcPr>
            <w:tcW w:w="1995" w:type="dxa"/>
            <w:gridSpan w:val="3"/>
            <w:tcBorders>
              <w:top w:val="single" w:sz="4" w:space="0" w:color="000000"/>
              <w:left w:val="single" w:sz="4" w:space="0" w:color="000000"/>
              <w:bottom w:val="single" w:sz="4" w:space="0" w:color="000000"/>
              <w:right w:val="single" w:sz="4" w:space="0" w:color="000000"/>
            </w:tcBorders>
            <w:shd w:fill="auto" w:val="clear"/>
            <w:tcMar>
              <w:top w:w="30" w:type="dxa"/>
              <w:left w:w="75" w:type="dxa"/>
              <w:bottom w:w="3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3756327238</w:t>
            </w:r>
          </w:p>
        </w:tc>
      </w:tr>
    </w:tbl>
    <w:p>
      <w:pPr>
        <w:pStyle w:val="TextBody"/>
        <w:spacing w:before="0" w:after="3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292100"/>
                <wp:effectExtent l="0" t="0" r="0" b="0"/>
                <wp:wrapNone/>
                <wp:docPr id="188" name="Frame188"/>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III</w:t>
      </w:r>
    </w:p>
    <w:p>
      <w:pPr>
        <w:pStyle w:val="TextBody"/>
        <w:spacing w:lineRule="auto" w:line="240"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Notice Addresses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in the case of the Borrower, at the following address: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Integra Receivables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1100 Campus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Princeton, New Jersey 08540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Attention: Timothy Swiss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Telephone: 609-936-6969</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Email: timothy.swiss@integralife.com</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in the case of the Servicer, at the following address: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Integra LifeSciences Sales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1100 Campus Road</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Princeton, New Jersey 08540</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Attention: Timothy Swiss</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Telephone: 609-936-6969</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Email: timothy.swiss@integralife.com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in the case of PNC or the Administrative Agent, at the following address:</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PNC Bank, National Association</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300 Fifth Avenue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Pittsburgh, PA 15222</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Attention: Brian Stanley</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Telephone: (412) 768-2001</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Facsimile: (412) 803-7142</w:t>
      </w:r>
    </w:p>
    <w:p>
      <w:pPr>
        <w:pStyle w:val="TextBody"/>
        <w:spacing w:lineRule="auto" w:line="240" w:before="0" w:after="240"/>
        <w:rPr>
          <w:rFonts w:ascii="Times New Roman;sans-serif" w:hAnsi="Times New Roman;sans-serif"/>
          <w:b w:val="false"/>
          <w:color w:val="000000"/>
          <w:sz w:val="24"/>
        </w:rPr>
      </w:pPr>
      <w:r>
        <w:rPr>
          <w:rFonts w:ascii="Times New Roman;sans-serif" w:hAnsi="Times New Roman;sans-serif"/>
          <w:b w:val="false"/>
          <w:color w:val="000000"/>
          <w:sz w:val="24"/>
        </w:rPr>
        <w:t>Email: brian.stanley@pnc.com</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in the case of any other Person, at the address for such Person specified in the other Transaction Documents; in each case, or at such other address as shall be designated by such Person in a written notice to the other parties to this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92100"/>
                <wp:effectExtent l="0" t="0" r="0" b="0"/>
                <wp:wrapNone/>
                <wp:docPr id="189" name="Frame189"/>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Schedule III-1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Schedule III-1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before="0" w:after="0"/>
        <w:rPr/>
      </w:pPr>
      <w:r>
        <w:rPr/>
      </w:r>
    </w:p>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IV</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Excluded Obligors and Originators</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Excluded Obligors</w:t>
      </w:r>
      <w:r>
        <w:rPr>
          <w:rFonts w:ascii="Times New Roman;sans-serif" w:hAnsi="Times New Roman;sans-serif"/>
          <w:b w:val="false"/>
          <w:color w:val="000000"/>
          <w:sz w:val="24"/>
        </w:rPr>
        <w:t>:</w:t>
      </w:r>
    </w:p>
    <w:p>
      <w:pPr>
        <w:pStyle w:val="TextBody"/>
        <w:spacing w:lineRule="auto" w:line="240" w:before="0" w:after="60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1.None</w:t>
      </w:r>
    </w:p>
    <w:p>
      <w:pPr>
        <w:pStyle w:val="TextBody"/>
        <w:spacing w:lineRule="auto" w:line="240" w:before="0" w:after="240"/>
        <w:ind w:left="0" w:right="0" w:firstLine="720"/>
        <w:jc w:val="both"/>
        <w:rPr/>
      </w:pPr>
      <w:r>
        <w:rPr>
          <w:rFonts w:ascii="Times New Roman;sans-serif" w:hAnsi="Times New Roman;sans-serif"/>
          <w:b w:val="false"/>
          <w:color w:val="000000"/>
          <w:sz w:val="24"/>
          <w:u w:val="single"/>
        </w:rPr>
        <w:t>Excluded Originators (or sub-division or business unit thereof)</w:t>
      </w:r>
      <w:r>
        <w:rPr>
          <w:rFonts w:ascii="Times New Roman;sans-serif" w:hAnsi="Times New Roman;sans-serif"/>
          <w:b w:val="false"/>
          <w:color w:val="000000"/>
          <w:sz w:val="24"/>
        </w:rPr>
        <w:t>:</w:t>
      </w:r>
    </w:p>
    <w:p>
      <w:pPr>
        <w:pStyle w:val="TextBody"/>
        <w:spacing w:lineRule="auto" w:line="240" w:before="0" w:after="96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1.Integra Pain Management, a business unit or division of Integra LifeSciences Corporation</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92100"/>
                <wp:effectExtent l="0" t="0" r="0" b="0"/>
                <wp:wrapNone/>
                <wp:docPr id="190" name="Frame190"/>
                <a:graphic xmlns:a="http://schemas.openxmlformats.org/drawingml/2006/main">
                  <a:graphicData uri="http://schemas.microsoft.com/office/word/2010/wordprocessingShape">
                    <wps:wsp>
                      <wps:cNvSpPr txBox="1"/>
                      <wps:spPr>
                        <a:xfrm>
                          <a:off x="0" y="0"/>
                          <a:ext cx="6480175" cy="29210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IV-1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IV-1</w:t>
                      </w:r>
                    </w:p>
                    <w:p>
                      <w:pPr>
                        <w:pStyle w:val="TextBody"/>
                        <w:spacing w:lineRule="auto" w:line="240" w:before="0" w:after="0"/>
                        <w:rPr>
                          <w:rFonts w:ascii="Arial;sans-serif" w:hAnsi="Arial;sans-serif"/>
                          <w:b/>
                          <w:color w:val="000000"/>
                          <w:sz w:val="16"/>
                        </w:rPr>
                      </w:pPr>
                      <w:r>
                        <w:rPr>
                          <w:rFonts w:ascii="Arial;sans-serif" w:hAnsi="Arial;sans-serif"/>
                          <w:b/>
                          <w:color w:val="000000"/>
                          <w:sz w:val="16"/>
                        </w:rPr>
                        <w:t>Error! Unknown document property name.</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Jan De Witte, certify that: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Integra LifeSciences Holdings Corporation;</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jc w:val="both"/>
        <w:rPr>
          <w:color w:val="000000"/>
        </w:rPr>
      </w:pPr>
      <w:r>
        <w:rPr>
          <w:color w:val="000000"/>
        </w:rPr>
        <w:t> </w:t>
      </w:r>
    </w:p>
    <w:tbl>
      <w:tblPr>
        <w:tblW w:w="5084" w:type="dxa"/>
        <w:jc w:val="center"/>
        <w:tblInd w:w="0" w:type="dxa"/>
        <w:tblCellMar>
          <w:top w:w="28" w:type="dxa"/>
          <w:left w:w="28" w:type="dxa"/>
          <w:bottom w:w="28" w:type="dxa"/>
          <w:right w:w="28" w:type="dxa"/>
        </w:tblCellMar>
      </w:tblPr>
      <w:tblGrid>
        <w:gridCol w:w="200"/>
        <w:gridCol w:w="177"/>
        <w:gridCol w:w="178"/>
        <w:gridCol w:w="429"/>
        <w:gridCol w:w="429"/>
        <w:gridCol w:w="431"/>
        <w:gridCol w:w="949"/>
        <w:gridCol w:w="949"/>
        <w:gridCol w:w="134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302 of the Sarbanes-Oxley Act of 2002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A. Mosebrook, certify that: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Integra LifeSciences Holdings Corporation;</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jc w:val="both"/>
        <w:rPr/>
      </w:pPr>
      <w:r>
        <w:rPr>
          <w:rFonts w:ascii="Times New Roman;sans-serif" w:hAnsi="Times New Roman;sans-serif"/>
          <w:b w:val="false"/>
          <w:color w:val="000000"/>
          <w:sz w:val="20"/>
        </w:rPr>
        <w:t>5.</w:t>
      </w:r>
      <w:r>
        <w:rPr>
          <w:color w:val="000000"/>
        </w:rPr>
        <w:t xml:space="preserve">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tbl>
      <w:tblPr>
        <w:tblW w:w="4528" w:type="dxa"/>
        <w:jc w:val="center"/>
        <w:tblInd w:w="0" w:type="dxa"/>
        <w:tblCellMar>
          <w:top w:w="28" w:type="dxa"/>
          <w:left w:w="28" w:type="dxa"/>
          <w:bottom w:w="28" w:type="dxa"/>
          <w:right w:w="28" w:type="dxa"/>
        </w:tblCellMar>
      </w:tblPr>
      <w:tblGrid>
        <w:gridCol w:w="200"/>
        <w:gridCol w:w="177"/>
        <w:gridCol w:w="178"/>
        <w:gridCol w:w="429"/>
        <w:gridCol w:w="429"/>
        <w:gridCol w:w="431"/>
        <w:gridCol w:w="784"/>
        <w:gridCol w:w="784"/>
        <w:gridCol w:w="111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Finance</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Integra LifeSciences Holdings Corporation (the “Company”) on Form 10-Q for the quarter ended March 31, 2023 as filed with the Securities Exchange Commission on the date hereof (the “Report”), I, Jan De Witte, President and Chief Executive Officer of the Company, hereby certify, pursuant to 18 U.S.C. §1350, as adopted pursuant to §906 of the Sarbanes-Oxley Act of 2002, that to the best of my knowledge:</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 of Section 13(a) or Section 15(d), as applicable, of the Securities Exchange Act of 1934, as amended;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5084" w:type="dxa"/>
        <w:jc w:val="center"/>
        <w:tblInd w:w="0" w:type="dxa"/>
        <w:tblCellMar>
          <w:top w:w="28" w:type="dxa"/>
          <w:left w:w="28" w:type="dxa"/>
          <w:bottom w:w="28" w:type="dxa"/>
          <w:right w:w="28" w:type="dxa"/>
        </w:tblCellMar>
      </w:tblPr>
      <w:tblGrid>
        <w:gridCol w:w="200"/>
        <w:gridCol w:w="177"/>
        <w:gridCol w:w="178"/>
        <w:gridCol w:w="429"/>
        <w:gridCol w:w="429"/>
        <w:gridCol w:w="431"/>
        <w:gridCol w:w="949"/>
        <w:gridCol w:w="949"/>
        <w:gridCol w:w="134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 De Witte</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906 of the Sarbanes-Oxley Act of 2002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Integra LifeSciences Holdings Corporation (the “Company”) on Form 10-Q for the quarter ended March 31, 2023 as filed with the Securities Exchange Commission on the date hereof (the “Report”), I, Jeffrey A. Mosebrook, Senior Vice President, Finance of the Company, hereby certify, pursuant to 18 U.S.C. §1350, as adopted pursuant to §906 of the Sarbanes-Oxley Act of 2002, that to the best of my knowledge: </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 of Section 13(a) or Section 15(d), as applicable, of the Securities Exchange Act of 1934, as amended; and</w:t>
      </w:r>
    </w:p>
    <w:p>
      <w:pPr>
        <w:pStyle w:val="TextBody"/>
        <w:spacing w:lineRule="auto" w:line="288" w:before="12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lineRule="auto" w:line="288" w:before="0" w:after="0"/>
        <w:rPr>
          <w:color w:val="000000"/>
        </w:rPr>
      </w:pPr>
      <w:r>
        <w:rPr>
          <w:color w:val="000000"/>
        </w:rPr>
        <w:t> </w:t>
      </w:r>
    </w:p>
    <w:tbl>
      <w:tblPr>
        <w:tblW w:w="4528" w:type="dxa"/>
        <w:jc w:val="center"/>
        <w:tblInd w:w="0" w:type="dxa"/>
        <w:tblCellMar>
          <w:top w:w="28" w:type="dxa"/>
          <w:left w:w="28" w:type="dxa"/>
          <w:bottom w:w="28" w:type="dxa"/>
          <w:right w:w="28" w:type="dxa"/>
        </w:tblCellMar>
      </w:tblPr>
      <w:tblGrid>
        <w:gridCol w:w="200"/>
        <w:gridCol w:w="177"/>
        <w:gridCol w:w="178"/>
        <w:gridCol w:w="429"/>
        <w:gridCol w:w="429"/>
        <w:gridCol w:w="431"/>
        <w:gridCol w:w="784"/>
        <w:gridCol w:w="784"/>
        <w:gridCol w:w="1116"/>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2023</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A. Mosebrook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Finance</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17520/000091752006000066/ex3-1aform10k031406.txt" TargetMode="External"/><Relationship Id="rId3" Type="http://schemas.openxmlformats.org/officeDocument/2006/relationships/hyperlink" Target="http://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www.sec.gov/Archives/edgar/data/917520/000091752018000042/ex3_1xsecondarbylawsxdec20.htm" TargetMode="External"/><Relationship Id="rId7" Type="http://schemas.openxmlformats.org/officeDocument/2006/relationships/hyperlink" Target="https://www.sec.gov/Archives/edgar/data/917520/000091752023000015/iart-20221231xexx33.htm" TargetMode="External"/><Relationship Id="rId8" Type="http://schemas.openxmlformats.org/officeDocument/2006/relationships/hyperlink" Target="https://www.sec.gov/Archives/edgar/data/917520/000091752023000017/integra-7tharcreditagree.htm" TargetMode="External"/><Relationship Id="rId9" Type="http://schemas.openxmlformats.org/officeDocument/2006/relationships/hyperlink" Target="https://www.sec.gov/Archives/edgar/data/917520/000091752023000017/integraratificationagree.htm" TargetMode="External"/><Relationship Id="rId10" Type="http://schemas.openxmlformats.org/officeDocument/2006/relationships/hyperlink" Target="https://www.sec.gov/Archives/edgar/data/917520/000091752023000015/iart-20221231xexx103h.htm" TargetMode="External"/><Relationship Id="rId11" Type="http://schemas.openxmlformats.org/officeDocument/2006/relationships/hyperlink" Target="https://www.sec.gov/Archives/edgar/data/917520/000091752023000015/iart-20221231xexx103i.htm" TargetMode="External"/><Relationship Id="rId12" Type="http://schemas.openxmlformats.org/officeDocument/2006/relationships/hyperlink" Target="https://www.sec.gov/Archives/edgar/data/917520/000091752023000015/iart-20221231xexx103j.htm" TargetMode="External"/><Relationship Id="rId13" Type="http://schemas.openxmlformats.org/officeDocument/2006/relationships/hyperlink" Target="https://www.sec.gov/Archives/edgar/data/917520/000091752023000015/iart-20221231xexx103k.htm" TargetMode="External"/><Relationship Id="rId14" Type="http://schemas.openxmlformats.org/officeDocument/2006/relationships/hyperlink" Target="https://www.sec.gov/Archives/edgar/data/917520/000091752023000015/iart-20221231xexx103l.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155</Pages>
  <Words>91062</Words>
  <CharactersWithSpaces>583083</CharactersWithSpaces>
  <Paragraphs>4172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